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200"/>
        <w:jc w:val="center"/>
      </w:pPr>
      <w:r>
        <w:rPr>
          <w:b/>
          <w:color w:val="1F4E79"/>
          <w:sz w:val="56"/>
        </w:rPr>
        <w:t>Cahier des charges</w:t>
      </w:r>
    </w:p>
    <w:p>
      <w:pPr>
        <w:jc w:val="center"/>
      </w:pPr>
      <w:r>
        <w:rPr>
          <w:sz w:val="30"/>
        </w:rPr>
        <w:t>Conception, réalisation et exploitation du site internet de la commune de [nom de la commune]</w:t>
      </w:r>
    </w:p>
    <w:p>
      <w:pPr>
        <w:jc w:val="center"/>
      </w:pPr>
      <w:r>
        <w:t>Pouvoir adjudicateur : commune de [nom], [adresse de la mairie]</w:t>
      </w:r>
    </w:p>
    <w:p>
      <w:pPr>
        <w:jc w:val="center"/>
      </w:pPr>
      <w:r>
        <w:t>Référence de la consultation : [numéro]</w:t>
      </w:r>
    </w:p>
    <w:p>
      <w:pPr>
        <w:jc w:val="center"/>
      </w:pPr>
      <w:r>
        <w:t>Procédure : [procédure adaptée, articles R. 2123-1 et suivants du code de la commande publique]</w:t>
      </w:r>
    </w:p>
    <w:p>
      <w:pPr>
        <w:jc w:val="center"/>
      </w:pPr>
      <w:r>
        <w:t>Personne à contacter : [nom, fonction, courriel]</w:t>
      </w:r>
    </w:p>
    <w:p>
      <w:pPr>
        <w:jc w:val="center"/>
      </w:pPr>
      <w:r>
        <w:t>Date limite de remise des offres : [jour mois année, heure]</w:t>
      </w:r>
    </w:p>
    <w:p>
      <w:pPr>
        <w:jc w:val="center"/>
      </w:pPr>
      <w:r>
        <w:t>Version du document : [1.0], du [date]</w:t>
      </w:r>
    </w:p>
    <w:p>
      <w:r/>
    </w:p>
    <w:p>
      <w:pPr>
        <w:pStyle w:val="Heading1"/>
      </w:pPr>
      <w:r>
        <w:t>Mode d’emploi du modèle</w:t>
      </w:r>
    </w:p>
    <w:p>
      <w:r>
        <w:rPr>
          <w:i/>
          <w:color w:val="555B66"/>
        </w:rPr>
        <w:t>Cette page sert à la commune. Supprimez-la avant de publier la consultation.</w:t>
      </w:r>
    </w:p>
    <w:p>
      <w:pPr>
        <w:pStyle w:val="ListBullet"/>
      </w:pPr>
      <w:r>
        <w:t>Ce modèle vise les communes de 3 500 habitants et plus, ou tout projet qui passe par une procédure adaptée. Pour une plus petite commune, le modèle essentiel suffit.</w:t>
      </w:r>
    </w:p>
    <w:p>
      <w:pPr>
        <w:pStyle w:val="ListBullet"/>
      </w:pPr>
      <w:r>
        <w:t>Les textes en gris et en italique vous expliquent quoi écrire. Supprimez-les une fois la rubrique remplie.</w:t>
      </w:r>
    </w:p>
    <w:p>
      <w:pPr>
        <w:pStyle w:val="ListBullet"/>
      </w:pPr>
      <w:r>
        <w:t>Les textes entre crochets et en bleu sont à remplacer par vos informations.</w:t>
      </w:r>
    </w:p>
    <w:p>
      <w:pPr>
        <w:pStyle w:val="ListBullet"/>
      </w:pPr>
      <w:r>
        <w:t>Les phrases en noir sont des exigences types. Gardez-les, adaptez-les ou supprimez-les.</w:t>
      </w:r>
    </w:p>
    <w:p>
      <w:pPr>
        <w:pStyle w:val="ListBullet"/>
      </w:pPr>
      <w:r>
        <w:t>Chaque exigence porte un numéro (EX-01, EX-02…). Le candidat répond à chacune dans le questionnaire de l’annexe C.</w:t>
      </w:r>
    </w:p>
    <w:p>
      <w:pPr>
        <w:pStyle w:val="ListBullet"/>
      </w:pPr>
      <w:r>
        <w:t>Ce document tient lieu de cahier des clauses techniques particulières (CCTP). Le règlement de la consultation et le cahier des clauses administratives particulières (CCAP) restent à rédiger.</w:t>
      </w:r>
    </w:p>
    <w:p>
      <w:pPr>
        <w:pStyle w:val="Heading2"/>
      </w:pPr>
      <w:r>
        <w:t>Quelle procédure selon le montant</w:t>
      </w:r>
    </w:p>
    <w:p>
      <w:r>
        <w:rPr>
          <w:i/>
          <w:color w:val="555B66"/>
        </w:rPr>
        <w:t>Le montant se calcule sur toute la durée du contrat, options et reconductions comprises. Les prestations de même nature achetées à part s’additionnent. Seuils pour les fournitures et services d’une collectivité, en 2026.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  <w:shd w:val="clear" w:color="auto" w:fill="DCE6F0"/>
          </w:tcPr>
          <w:p>
            <w:r/>
            <w:r>
              <w:rPr>
                <w:b/>
              </w:rPr>
              <w:t>Montant estimé</w:t>
            </w:r>
          </w:p>
        </w:tc>
        <w:tc>
          <w:tcPr>
            <w:tcW w:type="dxa" w:w="6236"/>
            <w:shd w:val="clear" w:color="auto" w:fill="DCE6F0"/>
          </w:tcPr>
          <w:p>
            <w:r/>
            <w:r>
              <w:rPr>
                <w:b/>
              </w:rPr>
              <w:t>Ce que la commune doit faire</w:t>
            </w:r>
          </w:p>
        </w:tc>
      </w:tr>
      <w:tr>
        <w:tc>
          <w:tcPr>
            <w:tcW w:type="dxa" w:w="2835"/>
          </w:tcPr>
          <w:p>
            <w:r>
              <w:t>Moins de 60 000 € HT</w:t>
            </w:r>
          </w:p>
        </w:tc>
        <w:tc>
          <w:tcPr>
            <w:tcW w:type="dxa" w:w="6236"/>
          </w:tcPr>
          <w:p>
            <w:r>
              <w:t>Marché sans publicité ni mise en concurrence. La commune retient une offre pertinente, utilise bien l’argent public et ne s’adresse pas toujours au même prestataire.</w:t>
            </w:r>
          </w:p>
        </w:tc>
      </w:tr>
      <w:tr>
        <w:tc>
          <w:tcPr>
            <w:tcW w:type="dxa" w:w="2835"/>
          </w:tcPr>
          <w:p>
            <w:r>
              <w:t>60 000 à 89 999 € HT</w:t>
            </w:r>
          </w:p>
        </w:tc>
        <w:tc>
          <w:tcPr>
            <w:tcW w:type="dxa" w:w="6236"/>
          </w:tcPr>
          <w:p>
            <w:r>
              <w:t>Procédure adaptée. Publicité libre, adaptée au montant et à l’objet.</w:t>
            </w:r>
          </w:p>
        </w:tc>
      </w:tr>
      <w:tr>
        <w:tc>
          <w:tcPr>
            <w:tcW w:type="dxa" w:w="2835"/>
          </w:tcPr>
          <w:p>
            <w:r>
              <w:t>90 000 à 215 999 € HT</w:t>
            </w:r>
          </w:p>
        </w:tc>
        <w:tc>
          <w:tcPr>
            <w:tcW w:type="dxa" w:w="6236"/>
          </w:tcPr>
          <w:p>
            <w:r>
              <w:t>Procédure adaptée. Avis au BOAMP ou dans un journal d’annonces légales.</w:t>
            </w:r>
          </w:p>
        </w:tc>
      </w:tr>
      <w:tr>
        <w:tc>
          <w:tcPr>
            <w:tcW w:type="dxa" w:w="2835"/>
          </w:tcPr>
          <w:p>
            <w:r>
              <w:t>216 000 € HT et plus</w:t>
            </w:r>
          </w:p>
        </w:tc>
        <w:tc>
          <w:tcPr>
            <w:tcW w:type="dxa" w:w="6236"/>
          </w:tcPr>
          <w:p>
            <w:r>
              <w:t>Procédure formalisée, en général un appel d’offres. Avis au JOUE et au BOAMP.</w:t>
            </w:r>
          </w:p>
        </w:tc>
      </w:tr>
    </w:tbl>
    <w:p/>
    <w:p>
      <w:r/>
    </w:p>
    <w:p>
      <w:pPr>
        <w:pStyle w:val="Heading1"/>
      </w:pPr>
      <w:r>
        <w:t>1. Contexte et présentation de la commune</w:t>
      </w:r>
    </w:p>
    <w:p>
      <w:r>
        <w:rPr>
          <w:i/>
          <w:color w:val="555B66"/>
        </w:rPr>
        <w:t>Le candidat doit comprendre l’organisation qui utilisera le site, pas seulement le territoire.</w:t>
      </w:r>
    </w:p>
    <w:p>
      <w:r>
        <w:rPr>
          <w:color w:val="1F4E79"/>
        </w:rPr>
        <w:t>[À compléter : population, département, intercommunalité, nombre d’agents]</w:t>
      </w:r>
    </w:p>
    <w:p>
      <w:r>
        <w:rPr>
          <w:color w:val="1F4E79"/>
        </w:rPr>
        <w:t>[À compléter : organisation : service communication, service informatique, référents dans chaque service]</w:t>
      </w:r>
    </w:p>
    <w:p>
      <w:r>
        <w:rPr>
          <w:color w:val="1F4E79"/>
        </w:rPr>
        <w:t>[À compléter : sites existants : site principal, sous-sites (médiathèque, CCAS, office de tourisme), outils en ligne]</w:t>
      </w:r>
    </w:p>
    <w:p>
      <w:r>
        <w:rPr>
          <w:color w:val="1F4E79"/>
        </w:rPr>
        <w:t>[À compléter : fréquentation actuelle : visites par mois, pages les plus lues, part des visites sur téléphone]</w:t>
      </w:r>
    </w:p>
    <w:p>
      <w:r>
        <w:rPr>
          <w:color w:val="1F4E79"/>
        </w:rPr>
        <w:t>[À compléter : ce qui ne fonctionne plus et pourquoi la commune lance ce projet]</w:t>
      </w:r>
    </w:p>
    <w:p>
      <w:pPr>
        <w:pStyle w:val="Heading1"/>
      </w:pPr>
      <w:r>
        <w:t>2. Objectifs et indicateurs de réussite</w:t>
      </w:r>
    </w:p>
    <w:p>
      <w:r>
        <w:rPr>
          <w:i/>
          <w:color w:val="555B66"/>
        </w:rPr>
        <w:t>Un objectif sans indicateur ne se vérifie pas. Fixez une valeur cible et une date de mesure.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685"/>
        <w:gridCol w:w="2268"/>
      </w:tblGrid>
      <w:tr>
        <w:tc>
          <w:tcPr>
            <w:tcW w:type="dxa" w:w="3118"/>
            <w:shd w:val="clear" w:color="auto" w:fill="DCE6F0"/>
          </w:tcPr>
          <w:p>
            <w:r/>
            <w:r>
              <w:rPr>
                <w:b/>
              </w:rPr>
              <w:t>Objectif</w:t>
            </w:r>
          </w:p>
        </w:tc>
        <w:tc>
          <w:tcPr>
            <w:tcW w:type="dxa" w:w="3685"/>
            <w:shd w:val="clear" w:color="auto" w:fill="DCE6F0"/>
          </w:tcPr>
          <w:p>
            <w:r/>
            <w:r>
              <w:rPr>
                <w:b/>
              </w:rPr>
              <w:t>Indicateur</w:t>
            </w:r>
          </w:p>
        </w:tc>
        <w:tc>
          <w:tcPr>
            <w:tcW w:type="dxa" w:w="2268"/>
            <w:shd w:val="clear" w:color="auto" w:fill="DCE6F0"/>
          </w:tcPr>
          <w:p>
            <w:r/>
            <w:r>
              <w:rPr>
                <w:b/>
              </w:rPr>
              <w:t>Valeur cible</w:t>
            </w:r>
          </w:p>
        </w:tc>
      </w:tr>
      <w:tr>
        <w:tc>
          <w:tcPr>
            <w:tcW w:type="dxa" w:w="3118"/>
          </w:tcPr>
          <w:p>
            <w:r>
              <w:t>Rendre les démarches plus simples</w:t>
            </w:r>
          </w:p>
        </w:tc>
        <w:tc>
          <w:tcPr>
            <w:tcW w:type="dxa" w:w="3685"/>
          </w:tcPr>
          <w:p>
            <w:r>
              <w:t>Demandes reçues en ligne sur le total des demandes</w:t>
            </w:r>
          </w:p>
        </w:tc>
        <w:tc>
          <w:tcPr>
            <w:tcW w:type="dxa" w:w="2268"/>
          </w:tcPr>
          <w:p>
            <w:r>
              <w:t>[50 % à un an]</w:t>
            </w:r>
          </w:p>
        </w:tc>
      </w:tr>
      <w:tr>
        <w:tc>
          <w:tcPr>
            <w:tcW w:type="dxa" w:w="3118"/>
          </w:tcPr>
          <w:p>
            <w:r>
              <w:t>Rendre les agents autonomes</w:t>
            </w:r>
          </w:p>
        </w:tc>
        <w:tc>
          <w:tcPr>
            <w:tcW w:type="dxa" w:w="3685"/>
          </w:tcPr>
          <w:p>
            <w:r>
              <w:t>Délai de publication d’une actualité</w:t>
            </w:r>
          </w:p>
        </w:tc>
        <w:tc>
          <w:tcPr>
            <w:tcW w:type="dxa" w:w="2268"/>
          </w:tcPr>
          <w:p>
            <w:r>
              <w:t>[moins de 10 minutes]</w:t>
            </w:r>
          </w:p>
        </w:tc>
      </w:tr>
      <w:tr>
        <w:tc>
          <w:tcPr>
            <w:tcW w:type="dxa" w:w="3118"/>
          </w:tcPr>
          <w:p>
            <w:r>
              <w:t>Informer plus vite</w:t>
            </w:r>
          </w:p>
        </w:tc>
        <w:tc>
          <w:tcPr>
            <w:tcW w:type="dxa" w:w="3685"/>
          </w:tcPr>
          <w:p>
            <w:r>
              <w:t>Délai entre une décision et sa publication</w:t>
            </w:r>
          </w:p>
        </w:tc>
        <w:tc>
          <w:tcPr>
            <w:tcW w:type="dxa" w:w="2268"/>
          </w:tcPr>
          <w:p>
            <w:r>
              <w:t>[moins de 48 heures]</w:t>
            </w:r>
          </w:p>
        </w:tc>
      </w:tr>
      <w:tr>
        <w:tc>
          <w:tcPr>
            <w:tcW w:type="dxa" w:w="3118"/>
          </w:tcPr>
          <w:p>
            <w:r>
              <w:t>Rendre le site accessible</w:t>
            </w:r>
          </w:p>
        </w:tc>
        <w:tc>
          <w:tcPr>
            <w:tcW w:type="dxa" w:w="3685"/>
          </w:tcPr>
          <w:p>
            <w:r>
              <w:t>Taux de conformité au RGAA mesuré</w:t>
            </w:r>
          </w:p>
        </w:tc>
        <w:tc>
          <w:tcPr>
            <w:tcW w:type="dxa" w:w="2268"/>
          </w:tcPr>
          <w:p>
            <w:r>
              <w:t>[100 % des critères applicables]</w:t>
            </w:r>
          </w:p>
        </w:tc>
      </w:tr>
      <w:tr>
        <w:tc>
          <w:tcPr>
            <w:tcW w:type="dxa" w:w="3118"/>
          </w:tcPr>
          <w:p>
            <w:r>
              <w:t>[autre objectif]</w:t>
            </w:r>
          </w:p>
        </w:tc>
        <w:tc>
          <w:tcPr>
            <w:tcW w:type="dxa" w:w="3685"/>
          </w:tcPr>
          <w:p>
            <w:r>
              <w:t>[indicateur]</w:t>
            </w:r>
          </w:p>
        </w:tc>
        <w:tc>
          <w:tcPr>
            <w:tcW w:type="dxa" w:w="2268"/>
          </w:tcPr>
          <w:p>
            <w:r>
              <w:t>[valeur]</w:t>
            </w:r>
          </w:p>
        </w:tc>
      </w:tr>
    </w:tbl>
    <w:p/>
    <w:p>
      <w:pPr>
        <w:pStyle w:val="Heading1"/>
      </w:pPr>
      <w:r>
        <w:t>3. Gouvernance du projet</w:t>
      </w:r>
    </w:p>
    <w:p>
      <w:pPr>
        <w:pStyle w:val="ListBullet"/>
      </w:pPr>
      <w:r>
        <w:t>Chef de projet de la commune : [nom, fonction, temps consacré au projet] ;</w:t>
      </w:r>
    </w:p>
    <w:p>
      <w:pPr>
        <w:pStyle w:val="ListBullet"/>
      </w:pPr>
      <w:r>
        <w:t>Comité de pilotage : [élu référent, direction générale, communication, informatique], réuni à chaque fin de phase ;</w:t>
      </w:r>
    </w:p>
    <w:p>
      <w:pPr>
        <w:pStyle w:val="ListBullet"/>
      </w:pPr>
      <w:r>
        <w:t>EX-01 : le candidat désigne un chef de projet unique et donne son remplaçant ;</w:t>
      </w:r>
    </w:p>
    <w:p>
      <w:pPr>
        <w:pStyle w:val="ListBullet"/>
      </w:pPr>
      <w:r>
        <w:t>EX-02 : le candidat rédige le compte rendu de chaque réunion sous 5 jours ouvrés ;</w:t>
      </w:r>
    </w:p>
    <w:p>
      <w:pPr>
        <w:pStyle w:val="ListBullet"/>
      </w:pPr>
      <w:r>
        <w:t>Validation : chaque livrable est validé par écrit par la commune avant la phase suivante.</w:t>
      </w:r>
    </w:p>
    <w:p>
      <w:pPr>
        <w:pStyle w:val="Heading1"/>
      </w:pPr>
      <w:r>
        <w:t>4. Publics, parcours et usages</w:t>
      </w:r>
    </w:p>
    <w:p>
      <w:r>
        <w:rPr>
          <w:i/>
          <w:color w:val="555B66"/>
        </w:rPr>
        <w:t>Décrivez les parcours les plus fréquents. Ils servent de scénarios de test à la livraison.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102"/>
        <w:gridCol w:w="1701"/>
      </w:tblGrid>
      <w:tr>
        <w:tc>
          <w:tcPr>
            <w:tcW w:type="dxa" w:w="2268"/>
            <w:shd w:val="clear" w:color="auto" w:fill="DCE6F0"/>
          </w:tcPr>
          <w:p>
            <w:r/>
            <w:r>
              <w:rPr>
                <w:b/>
              </w:rPr>
              <w:t>Public</w:t>
            </w:r>
          </w:p>
        </w:tc>
        <w:tc>
          <w:tcPr>
            <w:tcW w:type="dxa" w:w="5102"/>
            <w:shd w:val="clear" w:color="auto" w:fill="DCE6F0"/>
          </w:tcPr>
          <w:p>
            <w:r/>
            <w:r>
              <w:rPr>
                <w:b/>
              </w:rPr>
              <w:t>Parcours prioritaire</w:t>
            </w:r>
          </w:p>
        </w:tc>
        <w:tc>
          <w:tcPr>
            <w:tcW w:type="dxa" w:w="1701"/>
            <w:shd w:val="clear" w:color="auto" w:fill="DCE6F0"/>
          </w:tcPr>
          <w:p>
            <w:r/>
            <w:r>
              <w:rPr>
                <w:b/>
              </w:rPr>
              <w:t>Fréquence</w:t>
            </w:r>
          </w:p>
        </w:tc>
      </w:tr>
      <w:tr>
        <w:tc>
          <w:tcPr>
            <w:tcW w:type="dxa" w:w="2268"/>
          </w:tcPr>
          <w:p>
            <w:r>
              <w:t>Habitant</w:t>
            </w:r>
          </w:p>
        </w:tc>
        <w:tc>
          <w:tcPr>
            <w:tcW w:type="dxa" w:w="5102"/>
          </w:tcPr>
          <w:p>
            <w:r>
              <w:t>[trouver les horaires de la déchetterie depuis un téléphone]</w:t>
            </w:r>
          </w:p>
        </w:tc>
        <w:tc>
          <w:tcPr>
            <w:tcW w:type="dxa" w:w="1701"/>
          </w:tcPr>
          <w:p>
            <w:r>
              <w:t>[forte]</w:t>
            </w:r>
          </w:p>
        </w:tc>
      </w:tr>
      <w:tr>
        <w:tc>
          <w:tcPr>
            <w:tcW w:type="dxa" w:w="2268"/>
          </w:tcPr>
          <w:p>
            <w:r>
              <w:t>Parent</w:t>
            </w:r>
          </w:p>
        </w:tc>
        <w:tc>
          <w:tcPr>
            <w:tcW w:type="dxa" w:w="5102"/>
          </w:tcPr>
          <w:p>
            <w:r>
              <w:t>[inscrire un enfant à la cantine ou au centre de loisirs]</w:t>
            </w:r>
          </w:p>
        </w:tc>
        <w:tc>
          <w:tcPr>
            <w:tcW w:type="dxa" w:w="1701"/>
          </w:tcPr>
          <w:p>
            <w:r>
              <w:t>[forte]</w:t>
            </w:r>
          </w:p>
        </w:tc>
      </w:tr>
      <w:tr>
        <w:tc>
          <w:tcPr>
            <w:tcW w:type="dxa" w:w="2268"/>
          </w:tcPr>
          <w:p>
            <w:r>
              <w:t>Nouvel arrivant</w:t>
            </w:r>
          </w:p>
        </w:tc>
        <w:tc>
          <w:tcPr>
            <w:tcW w:type="dxa" w:w="5102"/>
          </w:tcPr>
          <w:p>
            <w:r>
              <w:t>[trouver écoles, déchets, inscription sur les listes électorales]</w:t>
            </w:r>
          </w:p>
        </w:tc>
        <w:tc>
          <w:tcPr>
            <w:tcW w:type="dxa" w:w="1701"/>
          </w:tcPr>
          <w:p>
            <w:r>
              <w:t>[moyenne]</w:t>
            </w:r>
          </w:p>
        </w:tc>
      </w:tr>
      <w:tr>
        <w:tc>
          <w:tcPr>
            <w:tcW w:type="dxa" w:w="2268"/>
          </w:tcPr>
          <w:p>
            <w:r>
              <w:t>Association</w:t>
            </w:r>
          </w:p>
        </w:tc>
        <w:tc>
          <w:tcPr>
            <w:tcW w:type="dxa" w:w="5102"/>
          </w:tcPr>
          <w:p>
            <w:r>
              <w:t>[annoncer un événement, réserver une salle]</w:t>
            </w:r>
          </w:p>
        </w:tc>
        <w:tc>
          <w:tcPr>
            <w:tcW w:type="dxa" w:w="1701"/>
          </w:tcPr>
          <w:p>
            <w:r>
              <w:t>[moyenne]</w:t>
            </w:r>
          </w:p>
        </w:tc>
      </w:tr>
      <w:tr>
        <w:tc>
          <w:tcPr>
            <w:tcW w:type="dxa" w:w="2268"/>
          </w:tcPr>
          <w:p>
            <w:r>
              <w:t>Entreprise</w:t>
            </w:r>
          </w:p>
        </w:tc>
        <w:tc>
          <w:tcPr>
            <w:tcW w:type="dxa" w:w="5102"/>
          </w:tcPr>
          <w:p>
            <w:r>
              <w:t>[consulter les marchés publics, contacter l’urbanisme]</w:t>
            </w:r>
          </w:p>
        </w:tc>
        <w:tc>
          <w:tcPr>
            <w:tcW w:type="dxa" w:w="1701"/>
          </w:tcPr>
          <w:p>
            <w:r>
              <w:t>[faible]</w:t>
            </w:r>
          </w:p>
        </w:tc>
      </w:tr>
      <w:tr>
        <w:tc>
          <w:tcPr>
            <w:tcW w:type="dxa" w:w="2268"/>
          </w:tcPr>
          <w:p>
            <w:r>
              <w:t>Personne en situation de handicap</w:t>
            </w:r>
          </w:p>
        </w:tc>
        <w:tc>
          <w:tcPr>
            <w:tcW w:type="dxa" w:w="5102"/>
          </w:tcPr>
          <w:p>
            <w:r>
              <w:t>[faire une démarche au clavier ou avec un lecteur d’écran]</w:t>
            </w:r>
          </w:p>
        </w:tc>
        <w:tc>
          <w:tcPr>
            <w:tcW w:type="dxa" w:w="1701"/>
          </w:tcPr>
          <w:p>
            <w:r>
              <w:t>[à garantir]</w:t>
            </w:r>
          </w:p>
        </w:tc>
      </w:tr>
    </w:tbl>
    <w:p/>
    <w:p>
      <w:r>
        <w:t>EX-03 : le candidat propose une méthode pour associer des habitants à la conception (ateliers, tests).</w:t>
      </w:r>
    </w:p>
    <w:p>
      <w:pPr>
        <w:pStyle w:val="Heading1"/>
      </w:pPr>
      <w:r>
        <w:t>5. Arborescence, contenus et sous-sites</w:t>
      </w:r>
    </w:p>
    <w:p>
      <w:r>
        <w:rPr>
          <w:color w:val="1F4E79"/>
        </w:rPr>
        <w:t>[À compléter : rubriques principales du menu, trois niveaux au plus]</w:t>
      </w:r>
    </w:p>
    <w:p>
      <w:r>
        <w:rPr>
          <w:color w:val="1F4E79"/>
        </w:rPr>
        <w:t>[À compléter : sous-sites à créer ou à regrouper : médiathèque, CCAS, office de tourisme, jumelage]</w:t>
      </w:r>
    </w:p>
    <w:p>
      <w:r>
        <w:rPr>
          <w:color w:val="1F4E79"/>
        </w:rPr>
        <w:t>[À compléter : langues étrangères : aucune, ou lesquelles et pour quelles pages]</w:t>
      </w:r>
    </w:p>
    <w:p>
      <w:r>
        <w:t>EX-04 : chaque sous-site partage l’espace d’administration et l’identité visuelle du site principal.</w:t>
      </w:r>
    </w:p>
    <w:p>
      <w:r>
        <w:t>EX-05 : le moteur de recherche interne couvre les pages, les actualités et le texte des documents PDF.</w:t>
      </w:r>
    </w:p>
    <w:p>
      <w:pPr>
        <w:pStyle w:val="Heading1"/>
      </w:pPr>
      <w:r>
        <w:t>6. Fonctions attendues</w:t>
      </w:r>
    </w:p>
    <w:p>
      <w:r>
        <w:rPr>
          <w:i/>
          <w:color w:val="555B66"/>
        </w:rPr>
        <w:t>« Indispensable » élimine une offre qui ne la propose pas. « Souhaité » donne des points. « Option » demande un prix séparé. « Non » évite de payer une fonction inutile.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95"/>
        <w:gridCol w:w="1361"/>
        <w:gridCol w:w="1134"/>
        <w:gridCol w:w="1020"/>
        <w:gridCol w:w="794"/>
      </w:tblGrid>
      <w:tr>
        <w:tc>
          <w:tcPr>
            <w:tcW w:type="dxa" w:w="4195"/>
            <w:shd w:val="clear" w:color="auto" w:fill="DCE6F0"/>
          </w:tcPr>
          <w:p>
            <w:r/>
            <w:r>
              <w:rPr>
                <w:b/>
              </w:rPr>
              <w:t>Fonction</w:t>
            </w:r>
          </w:p>
        </w:tc>
        <w:tc>
          <w:tcPr>
            <w:tcW w:type="dxa" w:w="1361"/>
            <w:shd w:val="clear" w:color="auto" w:fill="DCE6F0"/>
          </w:tcPr>
          <w:p>
            <w:r/>
            <w:r>
              <w:rPr>
                <w:b/>
              </w:rPr>
              <w:t>Indispensable</w:t>
            </w:r>
          </w:p>
        </w:tc>
        <w:tc>
          <w:tcPr>
            <w:tcW w:type="dxa" w:w="1134"/>
            <w:shd w:val="clear" w:color="auto" w:fill="DCE6F0"/>
          </w:tcPr>
          <w:p>
            <w:r/>
            <w:r>
              <w:rPr>
                <w:b/>
              </w:rPr>
              <w:t>Souhaité</w:t>
            </w:r>
          </w:p>
        </w:tc>
        <w:tc>
          <w:tcPr>
            <w:tcW w:type="dxa" w:w="1020"/>
            <w:shd w:val="clear" w:color="auto" w:fill="DCE6F0"/>
          </w:tcPr>
          <w:p>
            <w:r/>
            <w:r>
              <w:rPr>
                <w:b/>
              </w:rPr>
              <w:t>Option</w:t>
            </w:r>
          </w:p>
        </w:tc>
        <w:tc>
          <w:tcPr>
            <w:tcW w:type="dxa" w:w="794"/>
            <w:shd w:val="clear" w:color="auto" w:fill="DCE6F0"/>
          </w:tcPr>
          <w:p>
            <w:r/>
            <w:r>
              <w:rPr>
                <w:b/>
              </w:rPr>
              <w:t>Non</w:t>
            </w:r>
          </w:p>
        </w:tc>
      </w:tr>
      <w:tr>
        <w:tc>
          <w:tcPr>
            <w:tcW w:type="dxa" w:w="4195"/>
          </w:tcPr>
          <w:p>
            <w:r>
              <w:t>Actualités, agenda et événements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Publication des actes et recueil des actes administratifs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Comptes rendus et procès-verbaux du conseil municipal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Annuaire des services, des élus et des associations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Formulaires en ligne avec accusé de réception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Signalements des habitants avec suivi et géolocalisation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Alertes par courriel, SMS ou notification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Prise de rendez-vous en ligne (état civil, urbanisme)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Réservation de salles et d’équipements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Portail famille (cantine, périscolaire, paiement)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Paiement en ligne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Menus de la cantine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Bulletin municipal en ligne et abonnement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Lettre d’information par courriel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Carte interactive (équipements, travaux)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Fiches démarches de service-public.fr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Marchés publics et lien vers le profil acheteur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Offres d’emploi de la commune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Espace d’expression des élus hors majorité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Statistiques de visite respectueuses du RGPD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Installation sur l’écran d’accueil du téléphone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  <w:tr>
        <w:tc>
          <w:tcPr>
            <w:tcW w:type="dxa" w:w="4195"/>
          </w:tcPr>
          <w:p>
            <w:r>
              <w:t>Export des données publiques en open data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94"/>
          </w:tcPr>
          <w:p>
            <w:r/>
          </w:p>
        </w:tc>
      </w:tr>
    </w:tbl>
    <w:p/>
    <w:p>
      <w:pPr>
        <w:pStyle w:val="Heading1"/>
      </w:pPr>
      <w:r>
        <w:t>7. Espace d’administration et rôles</w:t>
      </w:r>
    </w:p>
    <w:p>
      <w:r>
        <w:rPr>
          <w:i/>
          <w:color w:val="555B66"/>
        </w:rPr>
        <w:t>C’est l’outil que les agents utiliseront chaque jour. Il pèse autant que le site lui-même.</w:t>
      </w:r>
    </w:p>
    <w:p>
      <w:pPr>
        <w:pStyle w:val="ListBullet"/>
      </w:pPr>
      <w:r>
        <w:t>EX-06 : des rôles distincts (administrateur, rédacteur, relecteur) et des droits par rubrique ou par sous-site ;</w:t>
      </w:r>
    </w:p>
    <w:p>
      <w:pPr>
        <w:pStyle w:val="ListBullet"/>
      </w:pPr>
      <w:r>
        <w:t>EX-07 : un circuit de validation avant publication, réglable par rubrique ;</w:t>
      </w:r>
    </w:p>
    <w:p>
      <w:pPr>
        <w:pStyle w:val="ListBullet"/>
      </w:pPr>
      <w:r>
        <w:t>EX-08 : la publication et le retrait programmés à une date et une heure ;</w:t>
      </w:r>
    </w:p>
    <w:p>
      <w:pPr>
        <w:pStyle w:val="ListBullet"/>
      </w:pPr>
      <w:r>
        <w:t>EX-09 : l’historique des versions de chaque page, avec retour à une version précédente ;</w:t>
      </w:r>
    </w:p>
    <w:p>
      <w:pPr>
        <w:pStyle w:val="ListBullet"/>
      </w:pPr>
      <w:r>
        <w:t>EX-10 : un contrôle d’accessibilité à la saisie (texte alternatif des images, titres, liens) ;</w:t>
      </w:r>
    </w:p>
    <w:p>
      <w:pPr>
        <w:pStyle w:val="ListBullet"/>
      </w:pPr>
      <w:r>
        <w:t>Nombre de comptes à prévoir : [nombre], sans surcoût par compte si possible.</w:t>
      </w:r>
    </w:p>
    <w:p>
      <w:r>
        <w:t>EX-11 : le candidat fournit un accès de démonstration à l’espace d’administration pendant l’analyse des offres.</w:t>
      </w:r>
    </w:p>
    <w:p>
      <w:pPr>
        <w:pStyle w:val="Heading1"/>
      </w:pPr>
      <w:r>
        <w:t>8. Intégrations et interopérabilité</w:t>
      </w:r>
    </w:p>
    <w:p>
      <w:r>
        <w:rPr>
          <w:i/>
          <w:color w:val="555B66"/>
        </w:rPr>
        <w:t>Listez les outils déjà en place. Une intégration oubliée devient un avenant.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1984"/>
        <w:gridCol w:w="4252"/>
      </w:tblGrid>
      <w:tr>
        <w:tc>
          <w:tcPr>
            <w:tcW w:type="dxa" w:w="2835"/>
            <w:shd w:val="clear" w:color="auto" w:fill="DCE6F0"/>
          </w:tcPr>
          <w:p>
            <w:r/>
            <w:r>
              <w:rPr>
                <w:b/>
              </w:rPr>
              <w:t>Outil en place</w:t>
            </w:r>
          </w:p>
        </w:tc>
        <w:tc>
          <w:tcPr>
            <w:tcW w:type="dxa" w:w="1984"/>
            <w:shd w:val="clear" w:color="auto" w:fill="DCE6F0"/>
          </w:tcPr>
          <w:p>
            <w:r/>
            <w:r>
              <w:rPr>
                <w:b/>
              </w:rPr>
              <w:t>Éditeur</w:t>
            </w:r>
          </w:p>
        </w:tc>
        <w:tc>
          <w:tcPr>
            <w:tcW w:type="dxa" w:w="4252"/>
            <w:shd w:val="clear" w:color="auto" w:fill="DCE6F0"/>
          </w:tcPr>
          <w:p>
            <w:r/>
            <w:r>
              <w:rPr>
                <w:b/>
              </w:rPr>
              <w:t>Échange attendu avec le site</w:t>
            </w:r>
          </w:p>
        </w:tc>
      </w:tr>
      <w:tr>
        <w:tc>
          <w:tcPr>
            <w:tcW w:type="dxa" w:w="2835"/>
          </w:tcPr>
          <w:p>
            <w:r>
              <w:t>[portail famille]</w:t>
            </w:r>
          </w:p>
        </w:tc>
        <w:tc>
          <w:tcPr>
            <w:tcW w:type="dxa" w:w="1984"/>
          </w:tcPr>
          <w:p>
            <w:r>
              <w:t>[éditeur]</w:t>
            </w:r>
          </w:p>
        </w:tc>
        <w:tc>
          <w:tcPr>
            <w:tcW w:type="dxa" w:w="4252"/>
          </w:tcPr>
          <w:p>
            <w:r>
              <w:t>[lien, connexion unique ou affichage des données]</w:t>
            </w:r>
          </w:p>
        </w:tc>
      </w:tr>
      <w:tr>
        <w:tc>
          <w:tcPr>
            <w:tcW w:type="dxa" w:w="2835"/>
          </w:tcPr>
          <w:p>
            <w:r>
              <w:t>[logiciel d’état civil ou de rendez-vous]</w:t>
            </w:r>
          </w:p>
        </w:tc>
        <w:tc>
          <w:tcPr>
            <w:tcW w:type="dxa" w:w="1984"/>
          </w:tcPr>
          <w:p>
            <w:r>
              <w:t>[éditeur]</w:t>
            </w:r>
          </w:p>
        </w:tc>
        <w:tc>
          <w:tcPr>
            <w:tcW w:type="dxa" w:w="4252"/>
          </w:tcPr>
          <w:p>
            <w:r>
              <w:t>[prise de rendez-vous]</w:t>
            </w:r>
          </w:p>
        </w:tc>
      </w:tr>
      <w:tr>
        <w:tc>
          <w:tcPr>
            <w:tcW w:type="dxa" w:w="2835"/>
          </w:tcPr>
          <w:p>
            <w:r>
              <w:t>[profil acheteur]</w:t>
            </w:r>
          </w:p>
        </w:tc>
        <w:tc>
          <w:tcPr>
            <w:tcW w:type="dxa" w:w="1984"/>
          </w:tcPr>
          <w:p>
            <w:r>
              <w:t>[plateforme]</w:t>
            </w:r>
          </w:p>
        </w:tc>
        <w:tc>
          <w:tcPr>
            <w:tcW w:type="dxa" w:w="4252"/>
          </w:tcPr>
          <w:p>
            <w:r>
              <w:t>[lien vers les consultations en cours]</w:t>
            </w:r>
          </w:p>
        </w:tc>
      </w:tr>
      <w:tr>
        <w:tc>
          <w:tcPr>
            <w:tcW w:type="dxa" w:w="2835"/>
          </w:tcPr>
          <w:p>
            <w:r>
              <w:t>[outil de lettre d’information]</w:t>
            </w:r>
          </w:p>
        </w:tc>
        <w:tc>
          <w:tcPr>
            <w:tcW w:type="dxa" w:w="1984"/>
          </w:tcPr>
          <w:p>
            <w:r>
              <w:t>[éditeur]</w:t>
            </w:r>
          </w:p>
        </w:tc>
        <w:tc>
          <w:tcPr>
            <w:tcW w:type="dxa" w:w="4252"/>
          </w:tcPr>
          <w:p>
            <w:r>
              <w:t>[inscription depuis le site]</w:t>
            </w:r>
          </w:p>
        </w:tc>
      </w:tr>
      <w:tr>
        <w:tc>
          <w:tcPr>
            <w:tcW w:type="dxa" w:w="2835"/>
          </w:tcPr>
          <w:p>
            <w:r>
              <w:t>[système d’information géographique]</w:t>
            </w:r>
          </w:p>
        </w:tc>
        <w:tc>
          <w:tcPr>
            <w:tcW w:type="dxa" w:w="1984"/>
          </w:tcPr>
          <w:p>
            <w:r>
              <w:t>[éditeur]</w:t>
            </w:r>
          </w:p>
        </w:tc>
        <w:tc>
          <w:tcPr>
            <w:tcW w:type="dxa" w:w="4252"/>
          </w:tcPr>
          <w:p>
            <w:r>
              <w:t>[carte des équipements ou des travaux]</w:t>
            </w:r>
          </w:p>
        </w:tc>
      </w:tr>
    </w:tbl>
    <w:p/>
    <w:p>
      <w:pPr>
        <w:pStyle w:val="ListBullet"/>
      </w:pPr>
      <w:r>
        <w:t>EX-12 : les démarches qui demandent une identification proposent FranceConnect ;</w:t>
      </w:r>
    </w:p>
    <w:p>
      <w:pPr>
        <w:pStyle w:val="ListBullet"/>
      </w:pPr>
      <w:r>
        <w:t>EX-13 : le site expose ses contenus publics par des flux ou une interface de programmation (API) documentée ;</w:t>
      </w:r>
    </w:p>
    <w:p>
      <w:pPr>
        <w:pStyle w:val="ListBullet"/>
      </w:pPr>
      <w:r>
        <w:t>EX-14 : le candidat liste les intégrations incluses dans son prix et chiffre les autres.</w:t>
      </w:r>
    </w:p>
    <w:p>
      <w:pPr>
        <w:pStyle w:val="Heading1"/>
      </w:pPr>
      <w:r>
        <w:t>9. Obligations légales selon la taille de la commune</w:t>
      </w:r>
    </w:p>
    <w:p>
      <w:r>
        <w:rPr>
          <w:i/>
          <w:color w:val="555B66"/>
        </w:rPr>
        <w:t>Gardez les lignes qui concernent votre commune. Le site doit permettre de les respecter sans développement en plus.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3061"/>
        <w:gridCol w:w="3061"/>
      </w:tblGrid>
      <w:tr>
        <w:tc>
          <w:tcPr>
            <w:tcW w:type="dxa" w:w="2948"/>
            <w:shd w:val="clear" w:color="auto" w:fill="DCE6F0"/>
          </w:tcPr>
          <w:p>
            <w:r/>
            <w:r>
              <w:rPr>
                <w:b/>
              </w:rPr>
              <w:t>Obligation</w:t>
            </w:r>
          </w:p>
        </w:tc>
        <w:tc>
          <w:tcPr>
            <w:tcW w:type="dxa" w:w="3061"/>
            <w:shd w:val="clear" w:color="auto" w:fill="DCE6F0"/>
          </w:tcPr>
          <w:p>
            <w:r/>
            <w:r>
              <w:rPr>
                <w:b/>
              </w:rPr>
              <w:t>Communes concernées</w:t>
            </w:r>
          </w:p>
        </w:tc>
        <w:tc>
          <w:tcPr>
            <w:tcW w:type="dxa" w:w="3061"/>
            <w:shd w:val="clear" w:color="auto" w:fill="DCE6F0"/>
          </w:tcPr>
          <w:p>
            <w:r/>
            <w:r>
              <w:rPr>
                <w:b/>
              </w:rPr>
              <w:t>Texte</w:t>
            </w:r>
          </w:p>
        </w:tc>
      </w:tr>
      <w:tr>
        <w:tc>
          <w:tcPr>
            <w:tcW w:type="dxa" w:w="2948"/>
          </w:tcPr>
          <w:p>
            <w:r>
              <w:t>Mentions légales</w:t>
            </w:r>
          </w:p>
        </w:tc>
        <w:tc>
          <w:tcPr>
            <w:tcW w:type="dxa" w:w="3061"/>
          </w:tcPr>
          <w:p>
            <w:r>
              <w:t>Toutes</w:t>
            </w:r>
          </w:p>
        </w:tc>
        <w:tc>
          <w:tcPr>
            <w:tcW w:type="dxa" w:w="3061"/>
          </w:tcPr>
          <w:p>
            <w:r>
              <w:t>Loi n° 2004-575, article 1-1</w:t>
            </w:r>
          </w:p>
        </w:tc>
      </w:tr>
      <w:tr>
        <w:tc>
          <w:tcPr>
            <w:tcW w:type="dxa" w:w="2948"/>
          </w:tcPr>
          <w:p>
            <w:r>
              <w:t>Publication électronique des actes</w:t>
            </w:r>
          </w:p>
        </w:tc>
        <w:tc>
          <w:tcPr>
            <w:tcW w:type="dxa" w:w="3061"/>
          </w:tcPr>
          <w:p>
            <w:r>
              <w:t>Toutes. Sous 3 500 habitants, le conseil peut choisir l’affichage ou le papier.</w:t>
            </w:r>
          </w:p>
        </w:tc>
        <w:tc>
          <w:tcPr>
            <w:tcW w:type="dxa" w:w="3061"/>
          </w:tcPr>
          <w:p>
            <w:r>
              <w:t>CGCT, article L. 2131-1</w:t>
            </w:r>
          </w:p>
        </w:tc>
      </w:tr>
      <w:tr>
        <w:tc>
          <w:tcPr>
            <w:tcW w:type="dxa" w:w="2948"/>
          </w:tcPr>
          <w:p>
            <w:r>
              <w:t>Espace d’expression des élus hors majorité</w:t>
            </w:r>
          </w:p>
        </w:tc>
        <w:tc>
          <w:tcPr>
            <w:tcW w:type="dxa" w:w="3061"/>
          </w:tcPr>
          <w:p>
            <w:r>
              <w:t>1 000 habitants et plus</w:t>
            </w:r>
          </w:p>
        </w:tc>
        <w:tc>
          <w:tcPr>
            <w:tcW w:type="dxa" w:w="3061"/>
          </w:tcPr>
          <w:p>
            <w:r>
              <w:t>CGCT, article L. 2121-27-1</w:t>
            </w:r>
          </w:p>
        </w:tc>
      </w:tr>
      <w:tr>
        <w:tc>
          <w:tcPr>
            <w:tcW w:type="dxa" w:w="2948"/>
          </w:tcPr>
          <w:p>
            <w:r>
              <w:t>Accessibilité : déclaration, schéma pluriannuel, plan d’actions de l’année, mention en page d’accueil, moyen de signaler un défaut</w:t>
            </w:r>
          </w:p>
        </w:tc>
        <w:tc>
          <w:tcPr>
            <w:tcW w:type="dxa" w:w="3061"/>
          </w:tcPr>
          <w:p>
            <w:r>
              <w:t>Toutes</w:t>
            </w:r>
          </w:p>
        </w:tc>
        <w:tc>
          <w:tcPr>
            <w:tcW w:type="dxa" w:w="3061"/>
          </w:tcPr>
          <w:p>
            <w:r>
              <w:t>Loi n° 2005-102, article 47 ; décret n° 2019-768</w:t>
            </w:r>
          </w:p>
        </w:tc>
      </w:tr>
      <w:tr>
        <w:tc>
          <w:tcPr>
            <w:tcW w:type="dxa" w:w="2948"/>
          </w:tcPr>
          <w:p>
            <w:r>
              <w:t>Saisine par voie électronique</w:t>
            </w:r>
          </w:p>
        </w:tc>
        <w:tc>
          <w:tcPr>
            <w:tcW w:type="dxa" w:w="3061"/>
          </w:tcPr>
          <w:p>
            <w:r>
              <w:t>Toutes</w:t>
            </w:r>
          </w:p>
        </w:tc>
        <w:tc>
          <w:tcPr>
            <w:tcW w:type="dxa" w:w="3061"/>
          </w:tcPr>
          <w:p>
            <w:r>
              <w:t>Code des relations entre le public et l’administration, article L. 112-8</w:t>
            </w:r>
          </w:p>
        </w:tc>
      </w:tr>
      <w:tr>
        <w:tc>
          <w:tcPr>
            <w:tcW w:type="dxa" w:w="2948"/>
          </w:tcPr>
          <w:p>
            <w:r>
              <w:t>Publication des données en open data</w:t>
            </w:r>
          </w:p>
        </w:tc>
        <w:tc>
          <w:tcPr>
            <w:tcW w:type="dxa" w:w="3061"/>
          </w:tcPr>
          <w:p>
            <w:r>
              <w:t>3 500 habitants et plus, avec au moins 50 agents en équivalent temps plein</w:t>
            </w:r>
          </w:p>
        </w:tc>
        <w:tc>
          <w:tcPr>
            <w:tcW w:type="dxa" w:w="3061"/>
          </w:tcPr>
          <w:p>
            <w:r>
              <w:t>Même code, articles L. 312-1-1 et D. 312-1-1-1</w:t>
            </w:r>
          </w:p>
        </w:tc>
      </w:tr>
      <w:tr>
        <w:tc>
          <w:tcPr>
            <w:tcW w:type="dxa" w:w="2948"/>
          </w:tcPr>
          <w:p>
            <w:r>
              <w:t>Sécurité des téléservices (RGS) et homologation</w:t>
            </w:r>
          </w:p>
        </w:tc>
        <w:tc>
          <w:tcPr>
            <w:tcW w:type="dxa" w:w="3061"/>
          </w:tcPr>
          <w:p>
            <w:r>
              <w:t>Toutes celles qui proposent des démarches en ligne</w:t>
            </w:r>
          </w:p>
        </w:tc>
        <w:tc>
          <w:tcPr>
            <w:tcW w:type="dxa" w:w="3061"/>
          </w:tcPr>
          <w:p>
            <w:r>
              <w:t>Ordonnance n° 2005-1516, article 9 ; décret n° 2010-112, articles 3 à 5</w:t>
            </w:r>
          </w:p>
        </w:tc>
      </w:tr>
      <w:tr>
        <w:tc>
          <w:tcPr>
            <w:tcW w:type="dxa" w:w="2948"/>
          </w:tcPr>
          <w:p>
            <w:r>
              <w:t>Stratégie numérique responsable</w:t>
            </w:r>
          </w:p>
        </w:tc>
        <w:tc>
          <w:tcPr>
            <w:tcW w:type="dxa" w:w="3061"/>
          </w:tcPr>
          <w:p>
            <w:r>
              <w:t>Plus de 50 000 habitants</w:t>
            </w:r>
          </w:p>
        </w:tc>
        <w:tc>
          <w:tcPr>
            <w:tcW w:type="dxa" w:w="3061"/>
          </w:tcPr>
          <w:p>
            <w:r>
              <w:t>Loi n° 2021-1485, article 35</w:t>
            </w:r>
          </w:p>
        </w:tc>
      </w:tr>
    </w:tbl>
    <w:p/>
    <w:p>
      <w:pPr>
        <w:pStyle w:val="Heading1"/>
      </w:pPr>
      <w:r>
        <w:t>10. Accessibilité numérique</w:t>
      </w:r>
    </w:p>
    <w:p>
      <w:r>
        <w:rPr>
          <w:i/>
          <w:color w:val="555B66"/>
        </w:rPr>
        <w:t>Le référentiel en vigueur est le RGAA 4.1.2. Le RGAA 5, fondé sur les WCAG 2.2, est attendu fin 2026.</w:t>
      </w:r>
    </w:p>
    <w:p>
      <w:pPr>
        <w:pStyle w:val="ListBullet"/>
      </w:pPr>
      <w:r>
        <w:t>EX-15 : le site respecte 100 % des critères applicables du RGAA 4.1.2 à la mise en ligne, gabarits et composants compris, puis la version du RGAA en vigueur ;</w:t>
      </w:r>
    </w:p>
    <w:p>
      <w:pPr>
        <w:pStyle w:val="ListBullet"/>
      </w:pPr>
      <w:r>
        <w:t>EX-16 : le candidat indique le taux de conformité mesuré sur ses sites en production, la date et l’auteur de la mesure ;</w:t>
      </w:r>
    </w:p>
    <w:p>
      <w:pPr>
        <w:pStyle w:val="ListBullet"/>
      </w:pPr>
      <w:r>
        <w:t>EX-17 : un audit de conformité par un tiers indépendant est [inclus / chiffré en option] avant la mise en ligne ;</w:t>
      </w:r>
    </w:p>
    <w:p>
      <w:pPr>
        <w:pStyle w:val="ListBullet"/>
      </w:pPr>
      <w:r>
        <w:t>EX-18 : le candidat corrige sans frais les non-conformités qui viennent de ses gabarits ;</w:t>
      </w:r>
    </w:p>
    <w:p>
      <w:pPr>
        <w:pStyle w:val="ListBullet"/>
      </w:pPr>
      <w:r>
        <w:t>EX-19 : le candidat fournit les éléments de la déclaration d’accessibilité et forme les agents à publier des contenus accessibles, documents PDF compris ;</w:t>
      </w:r>
    </w:p>
    <w:p>
      <w:pPr>
        <w:pStyle w:val="ListBullet"/>
      </w:pPr>
      <w:r>
        <w:t>EX-20 : le candidat explique comment il suivra le passage au RGAA 5.</w:t>
      </w:r>
    </w:p>
    <w:p>
      <w:pPr>
        <w:pStyle w:val="Heading1"/>
      </w:pPr>
      <w:r>
        <w:t>11. Hébergement et sécurité</w:t>
      </w:r>
    </w:p>
    <w:p>
      <w:pPr>
        <w:pStyle w:val="ListBullet"/>
      </w:pPr>
      <w:r>
        <w:t>EX-21 : hébergement des données et des sauvegardes dans l’Union européenne, avec le nom de chaque hébergeur ;</w:t>
      </w:r>
    </w:p>
    <w:p>
      <w:pPr>
        <w:pStyle w:val="ListBullet"/>
      </w:pPr>
      <w:r>
        <w:t>EX-22 : sauvegardes quotidiennes, conservées [30] jours, dans un lieu séparé du site ;</w:t>
      </w:r>
    </w:p>
    <w:p>
      <w:pPr>
        <w:pStyle w:val="ListBullet"/>
      </w:pPr>
      <w:r>
        <w:t>EX-23 : plan de reprise avec une durée maximale d’interruption de [4 heures] et une perte de données de [24 heures] au plus ;</w:t>
      </w:r>
    </w:p>
    <w:p>
      <w:pPr>
        <w:pStyle w:val="ListBullet"/>
      </w:pPr>
      <w:r>
        <w:t>EX-24 : mises à jour de sécurité appliquées sous [72 heures] pour une faille critique, sans surcoût ;</w:t>
      </w:r>
    </w:p>
    <w:p>
      <w:pPr>
        <w:pStyle w:val="ListBullet"/>
      </w:pPr>
      <w:r>
        <w:t>EX-25 : double authentification pour tous les comptes de l’espace d’administration ;</w:t>
      </w:r>
    </w:p>
    <w:p>
      <w:pPr>
        <w:pStyle w:val="ListBullet"/>
      </w:pPr>
      <w:r>
        <w:t>EX-26 : journal des connexions et des actions des administrateurs, conservé [6 mois] ;</w:t>
      </w:r>
    </w:p>
    <w:p>
      <w:pPr>
        <w:pStyle w:val="ListBullet"/>
      </w:pPr>
      <w:r>
        <w:t>EX-27 : test d’intrusion avant la mise en ligne, avec le rapport remis à la commune ;</w:t>
      </w:r>
    </w:p>
    <w:p>
      <w:pPr>
        <w:pStyle w:val="ListBullet"/>
      </w:pPr>
      <w:r>
        <w:t>EX-28 : le candidat fournit les éléments du dossier d’homologation RGS des démarches en ligne.</w:t>
      </w:r>
    </w:p>
    <w:p>
      <w:pPr>
        <w:pStyle w:val="Heading1"/>
      </w:pPr>
      <w:r>
        <w:t>12. Données personnelles</w:t>
      </w:r>
    </w:p>
    <w:p>
      <w:pPr>
        <w:pStyle w:val="ListBullet"/>
      </w:pPr>
      <w:r>
        <w:t>Délégué à la protection des données de la commune : [nom ou structure mutualisée] ;</w:t>
      </w:r>
    </w:p>
    <w:p>
      <w:pPr>
        <w:pStyle w:val="ListBullet"/>
      </w:pPr>
      <w:r>
        <w:t>EX-29 : contrat de sous-traitance conforme à l’article 28 du RGPD, avec la liste des sous-traitants et leur pays ;</w:t>
      </w:r>
    </w:p>
    <w:p>
      <w:pPr>
        <w:pStyle w:val="ListBullet"/>
      </w:pPr>
      <w:r>
        <w:t>EX-30 : aucun cookie de mesure ou de publicité sans consentement, sauf les statistiques exemptées selon les règles de la CNIL ;</w:t>
      </w:r>
    </w:p>
    <w:p>
      <w:pPr>
        <w:pStyle w:val="ListBullet"/>
      </w:pPr>
      <w:r>
        <w:t>EX-31 : une durée de conservation réglable pour chaque formulaire, avec suppression automatique ;</w:t>
      </w:r>
    </w:p>
    <w:p>
      <w:pPr>
        <w:pStyle w:val="ListBullet"/>
      </w:pPr>
      <w:r>
        <w:t>EX-32 : l’aide du candidat pour l’analyse d’impact, quand un traitement la demande (article 35 du RGPD) ;</w:t>
      </w:r>
    </w:p>
    <w:p>
      <w:pPr>
        <w:pStyle w:val="ListBullet"/>
      </w:pPr>
      <w:r>
        <w:t>EX-33 : une alerte de la commune sous [24 heures] en cas de violation de données, pour qu’elle notifie la CNIL dans les 72 heures.</w:t>
      </w:r>
    </w:p>
    <w:p>
      <w:pPr>
        <w:pStyle w:val="Heading1"/>
      </w:pPr>
      <w:r>
        <w:t>13. Qualité de service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2835"/>
        <w:gridCol w:w="2098"/>
        <w:gridCol w:w="2154"/>
      </w:tblGrid>
      <w:tr>
        <w:tc>
          <w:tcPr>
            <w:tcW w:type="dxa" w:w="1984"/>
            <w:shd w:val="clear" w:color="auto" w:fill="DCE6F0"/>
          </w:tcPr>
          <w:p>
            <w:r/>
            <w:r>
              <w:rPr>
                <w:b/>
              </w:rPr>
              <w:t>Gravité de l’incident</w:t>
            </w:r>
          </w:p>
        </w:tc>
        <w:tc>
          <w:tcPr>
            <w:tcW w:type="dxa" w:w="2835"/>
            <w:shd w:val="clear" w:color="auto" w:fill="DCE6F0"/>
          </w:tcPr>
          <w:p>
            <w:r/>
            <w:r>
              <w:rPr>
                <w:b/>
              </w:rPr>
              <w:t>Exemple</w:t>
            </w:r>
          </w:p>
        </w:tc>
        <w:tc>
          <w:tcPr>
            <w:tcW w:type="dxa" w:w="2098"/>
            <w:shd w:val="clear" w:color="auto" w:fill="DCE6F0"/>
          </w:tcPr>
          <w:p>
            <w:r/>
            <w:r>
              <w:rPr>
                <w:b/>
              </w:rPr>
              <w:t>Prise en charge</w:t>
            </w:r>
          </w:p>
        </w:tc>
        <w:tc>
          <w:tcPr>
            <w:tcW w:type="dxa" w:w="2154"/>
            <w:shd w:val="clear" w:color="auto" w:fill="DCE6F0"/>
          </w:tcPr>
          <w:p>
            <w:r/>
            <w:r>
              <w:rPr>
                <w:b/>
              </w:rPr>
              <w:t>Correction</w:t>
            </w:r>
          </w:p>
        </w:tc>
      </w:tr>
      <w:tr>
        <w:tc>
          <w:tcPr>
            <w:tcW w:type="dxa" w:w="1984"/>
          </w:tcPr>
          <w:p>
            <w:r>
              <w:t>Bloquant</w:t>
            </w:r>
          </w:p>
        </w:tc>
        <w:tc>
          <w:tcPr>
            <w:tcW w:type="dxa" w:w="2835"/>
          </w:tcPr>
          <w:p>
            <w:r>
              <w:t>Site hors ligne, faille exploitée</w:t>
            </w:r>
          </w:p>
        </w:tc>
        <w:tc>
          <w:tcPr>
            <w:tcW w:type="dxa" w:w="2098"/>
          </w:tcPr>
          <w:p>
            <w:r>
              <w:t>[1 heure ouvrée]</w:t>
            </w:r>
          </w:p>
        </w:tc>
        <w:tc>
          <w:tcPr>
            <w:tcW w:type="dxa" w:w="2154"/>
          </w:tcPr>
          <w:p>
            <w:r>
              <w:t>[4 heures ouvrées]</w:t>
            </w:r>
          </w:p>
        </w:tc>
      </w:tr>
      <w:tr>
        <w:tc>
          <w:tcPr>
            <w:tcW w:type="dxa" w:w="1984"/>
          </w:tcPr>
          <w:p>
            <w:r>
              <w:t>Majeur</w:t>
            </w:r>
          </w:p>
        </w:tc>
        <w:tc>
          <w:tcPr>
            <w:tcW w:type="dxa" w:w="2835"/>
          </w:tcPr>
          <w:p>
            <w:r>
              <w:t>Formulaire ou démarche en panne</w:t>
            </w:r>
          </w:p>
        </w:tc>
        <w:tc>
          <w:tcPr>
            <w:tcW w:type="dxa" w:w="2098"/>
          </w:tcPr>
          <w:p>
            <w:r>
              <w:t>[4 heures ouvrées]</w:t>
            </w:r>
          </w:p>
        </w:tc>
        <w:tc>
          <w:tcPr>
            <w:tcW w:type="dxa" w:w="2154"/>
          </w:tcPr>
          <w:p>
            <w:r>
              <w:t>[2 jours ouvrés]</w:t>
            </w:r>
          </w:p>
        </w:tc>
      </w:tr>
      <w:tr>
        <w:tc>
          <w:tcPr>
            <w:tcW w:type="dxa" w:w="1984"/>
          </w:tcPr>
          <w:p>
            <w:r>
              <w:t>Mineur</w:t>
            </w:r>
          </w:p>
        </w:tc>
        <w:tc>
          <w:tcPr>
            <w:tcW w:type="dxa" w:w="2835"/>
          </w:tcPr>
          <w:p>
            <w:r>
              <w:t>Défaut d’affichage</w:t>
            </w:r>
          </w:p>
        </w:tc>
        <w:tc>
          <w:tcPr>
            <w:tcW w:type="dxa" w:w="2098"/>
          </w:tcPr>
          <w:p>
            <w:r>
              <w:t>[2 jours ouvrés]</w:t>
            </w:r>
          </w:p>
        </w:tc>
        <w:tc>
          <w:tcPr>
            <w:tcW w:type="dxa" w:w="2154"/>
          </w:tcPr>
          <w:p>
            <w:r>
              <w:t>[prochaine mise à jour]</w:t>
            </w:r>
          </w:p>
        </w:tc>
      </w:tr>
    </w:tbl>
    <w:p/>
    <w:p>
      <w:pPr>
        <w:pStyle w:val="ListBullet"/>
      </w:pPr>
      <w:r>
        <w:t>EX-34 : disponibilité du site d’au moins [99,5 %] par mois, hors maintenance annoncée ;</w:t>
      </w:r>
    </w:p>
    <w:p>
      <w:pPr>
        <w:pStyle w:val="ListBullet"/>
      </w:pPr>
      <w:r>
        <w:t>EX-35 : un rapport trimestriel (disponibilité, incidents, mises à jour, demandes d’assistance) ;</w:t>
      </w:r>
    </w:p>
    <w:p>
      <w:pPr>
        <w:pStyle w:val="ListBullet"/>
      </w:pPr>
      <w:r>
        <w:t>Les pénalités de retard et de non-respect de ces délais sont fixées par le CCAP.</w:t>
      </w:r>
    </w:p>
    <w:p>
      <w:pPr>
        <w:pStyle w:val="Heading1"/>
      </w:pPr>
      <w:r>
        <w:t>14. Performance et écoconception</w:t>
      </w:r>
    </w:p>
    <w:p>
      <w:pPr>
        <w:pStyle w:val="ListBullet"/>
      </w:pPr>
      <w:r>
        <w:t>EX-36 : le candidat explique comment il applique le référentiel général de l’écoconception des services numériques (RGESN) ;</w:t>
      </w:r>
    </w:p>
    <w:p>
      <w:pPr>
        <w:pStyle w:val="ListBullet"/>
      </w:pPr>
      <w:r>
        <w:t>EX-37 : les images sont compressées et redimensionnées à la publication, sans action des agents ;</w:t>
      </w:r>
    </w:p>
    <w:p>
      <w:pPr>
        <w:pStyle w:val="ListBullet"/>
      </w:pPr>
      <w:r>
        <w:t>EX-38 : la page d’accueil s’affiche en moins de [2,5 secondes] sur un téléphone en 4G ;</w:t>
      </w:r>
    </w:p>
    <w:p>
      <w:pPr>
        <w:pStyle w:val="ListBullet"/>
      </w:pPr>
      <w:r>
        <w:t>EX-39 : le site reste utilisable sur un téléphone de plus de cinq ans.</w:t>
      </w:r>
    </w:p>
    <w:p>
      <w:pPr>
        <w:pStyle w:val="Heading1"/>
      </w:pPr>
      <w:r>
        <w:t>15. Identité visuelle et conception</w:t>
      </w:r>
    </w:p>
    <w:p>
      <w:r>
        <w:rPr>
          <w:i/>
          <w:color w:val="555B66"/>
        </w:rPr>
        <w:t>Le système de design de l’État (DSFR) et la police Marianne sont réservés aux services de l’État. Une commune ne peut pas les utiliser, même pour un site plus sobre.</w:t>
      </w:r>
    </w:p>
    <w:p>
      <w:r>
        <w:rPr>
          <w:color w:val="1F4E79"/>
        </w:rPr>
        <w:t>[À compléter : logo, charte graphique, banque de photos et droits d’utilisation]</w:t>
      </w:r>
    </w:p>
    <w:p>
      <w:r>
        <w:rPr>
          <w:color w:val="1F4E79"/>
        </w:rPr>
        <w:t>[À compléter : sites de communes que vous aimez, et pourquoi]</w:t>
      </w:r>
    </w:p>
    <w:p>
      <w:r>
        <w:t>EX-40 : le candidat présente [deux] pistes graphiques et prévoit [deux] séries de corrections.</w:t>
      </w:r>
    </w:p>
    <w:p>
      <w:r>
        <w:t>EX-41 : les couleurs de la charte respectent les contrastes demandés par le RGAA.</w:t>
      </w:r>
    </w:p>
    <w:p>
      <w:pPr>
        <w:pStyle w:val="Heading1"/>
      </w:pPr>
      <w:r>
        <w:t>16. Reprise des contenus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268"/>
        <w:gridCol w:w="3969"/>
      </w:tblGrid>
      <w:tr>
        <w:tc>
          <w:tcPr>
            <w:tcW w:type="dxa" w:w="2835"/>
            <w:shd w:val="clear" w:color="auto" w:fill="DCE6F0"/>
          </w:tcPr>
          <w:p>
            <w:r/>
            <w:r>
              <w:rPr>
                <w:b/>
              </w:rPr>
              <w:t>Contenu</w:t>
            </w:r>
          </w:p>
        </w:tc>
        <w:tc>
          <w:tcPr>
            <w:tcW w:type="dxa" w:w="2268"/>
            <w:shd w:val="clear" w:color="auto" w:fill="DCE6F0"/>
          </w:tcPr>
          <w:p>
            <w:r/>
            <w:r>
              <w:rPr>
                <w:b/>
              </w:rPr>
              <w:t>Volume actuel</w:t>
            </w:r>
          </w:p>
        </w:tc>
        <w:tc>
          <w:tcPr>
            <w:tcW w:type="dxa" w:w="3969"/>
            <w:shd w:val="clear" w:color="auto" w:fill="DCE6F0"/>
          </w:tcPr>
          <w:p>
            <w:r/>
            <w:r>
              <w:rPr>
                <w:b/>
              </w:rPr>
              <w:t>À reprendre</w:t>
            </w:r>
          </w:p>
        </w:tc>
      </w:tr>
      <w:tr>
        <w:tc>
          <w:tcPr>
            <w:tcW w:type="dxa" w:w="2835"/>
          </w:tcPr>
          <w:p>
            <w:r>
              <w:t>Pages</w:t>
            </w:r>
          </w:p>
        </w:tc>
        <w:tc>
          <w:tcPr>
            <w:tcW w:type="dxa" w:w="2268"/>
          </w:tcPr>
          <w:p>
            <w:r>
              <w:t>[nombre]</w:t>
            </w:r>
          </w:p>
        </w:tc>
        <w:tc>
          <w:tcPr>
            <w:tcW w:type="dxa" w:w="3969"/>
          </w:tcPr>
          <w:p>
            <w:r>
              <w:t>[toutes / sélection / aucune]</w:t>
            </w:r>
          </w:p>
        </w:tc>
      </w:tr>
      <w:tr>
        <w:tc>
          <w:tcPr>
            <w:tcW w:type="dxa" w:w="2835"/>
          </w:tcPr>
          <w:p>
            <w:r>
              <w:t>Actualités</w:t>
            </w:r>
          </w:p>
        </w:tc>
        <w:tc>
          <w:tcPr>
            <w:tcW w:type="dxa" w:w="2268"/>
          </w:tcPr>
          <w:p>
            <w:r>
              <w:t>[nombre]</w:t>
            </w:r>
          </w:p>
        </w:tc>
        <w:tc>
          <w:tcPr>
            <w:tcW w:type="dxa" w:w="3969"/>
          </w:tcPr>
          <w:p>
            <w:r>
              <w:t>[depuis l’année …]</w:t>
            </w:r>
          </w:p>
        </w:tc>
      </w:tr>
      <w:tr>
        <w:tc>
          <w:tcPr>
            <w:tcW w:type="dxa" w:w="2835"/>
          </w:tcPr>
          <w:p>
            <w:r>
              <w:t>Documents PDF</w:t>
            </w:r>
          </w:p>
        </w:tc>
        <w:tc>
          <w:tcPr>
            <w:tcW w:type="dxa" w:w="2268"/>
          </w:tcPr>
          <w:p>
            <w:r>
              <w:t>[nombre]</w:t>
            </w:r>
          </w:p>
        </w:tc>
        <w:tc>
          <w:tcPr>
            <w:tcW w:type="dxa" w:w="3969"/>
          </w:tcPr>
          <w:p>
            <w:r>
              <w:t>[tous / sélection]</w:t>
            </w:r>
          </w:p>
        </w:tc>
      </w:tr>
      <w:tr>
        <w:tc>
          <w:tcPr>
            <w:tcW w:type="dxa" w:w="2835"/>
          </w:tcPr>
          <w:p>
            <w:r>
              <w:t>Comptes rendus et actes</w:t>
            </w:r>
          </w:p>
        </w:tc>
        <w:tc>
          <w:tcPr>
            <w:tcW w:type="dxa" w:w="2268"/>
          </w:tcPr>
          <w:p>
            <w:r>
              <w:t>[nombre]</w:t>
            </w:r>
          </w:p>
        </w:tc>
        <w:tc>
          <w:tcPr>
            <w:tcW w:type="dxa" w:w="3969"/>
          </w:tcPr>
          <w:p>
            <w:r>
              <w:t>[tous]</w:t>
            </w:r>
          </w:p>
        </w:tc>
      </w:tr>
      <w:tr>
        <w:tc>
          <w:tcPr>
            <w:tcW w:type="dxa" w:w="2835"/>
          </w:tcPr>
          <w:p>
            <w:r>
              <w:t>Photos et médias</w:t>
            </w:r>
          </w:p>
        </w:tc>
        <w:tc>
          <w:tcPr>
            <w:tcW w:type="dxa" w:w="2268"/>
          </w:tcPr>
          <w:p>
            <w:r>
              <w:t>[nombre]</w:t>
            </w:r>
          </w:p>
        </w:tc>
        <w:tc>
          <w:tcPr>
            <w:tcW w:type="dxa" w:w="3969"/>
          </w:tcPr>
          <w:p>
            <w:r>
              <w:t>[sélection]</w:t>
            </w:r>
          </w:p>
        </w:tc>
      </w:tr>
    </w:tbl>
    <w:p/>
    <w:p>
      <w:pPr>
        <w:pStyle w:val="ListBullet"/>
      </w:pPr>
      <w:r>
        <w:t>EX-42 : le candidat précise qui fait la reprise, avec quel outil et dans quel délai ;</w:t>
      </w:r>
    </w:p>
    <w:p>
      <w:pPr>
        <w:pStyle w:val="ListBullet"/>
      </w:pPr>
      <w:r>
        <w:t>EX-43 : chaque ancienne adresse redirige vers la nouvelle page (redirection 301), pour garder le référencement.</w:t>
      </w:r>
    </w:p>
    <w:p>
      <w:pPr>
        <w:pStyle w:val="Heading1"/>
      </w:pPr>
      <w:r>
        <w:t>17. Formation, documentation et assistance</w:t>
      </w:r>
    </w:p>
    <w:p>
      <w:pPr>
        <w:pStyle w:val="ListBullet"/>
      </w:pPr>
      <w:r>
        <w:t>EX-44 : formation de [nombre] agents, en [nombre] sessions, [sur place / à distance] ;</w:t>
      </w:r>
    </w:p>
    <w:p>
      <w:pPr>
        <w:pStyle w:val="ListBullet"/>
      </w:pPr>
      <w:r>
        <w:t>EX-45 : un guide d’utilisation en français, tenu à jour à chaque nouvelle version ;</w:t>
      </w:r>
    </w:p>
    <w:p>
      <w:pPr>
        <w:pStyle w:val="ListBullet"/>
      </w:pPr>
      <w:r>
        <w:t>EX-46 : une assistance par [téléphone, courriel, formulaire], du lundi au vendredi, de [9 h] à [17 h] ;</w:t>
      </w:r>
    </w:p>
    <w:p>
      <w:pPr>
        <w:pStyle w:val="ListBullet"/>
      </w:pPr>
      <w:r>
        <w:t>EX-47 : des sessions de formation pour les nouveaux agents pendant toute la durée du contrat.</w:t>
      </w:r>
    </w:p>
    <w:p>
      <w:pPr>
        <w:pStyle w:val="Heading1"/>
      </w:pPr>
      <w:r>
        <w:t>18. Réversibilité et propriété</w:t>
      </w:r>
    </w:p>
    <w:p>
      <w:r>
        <w:rPr>
          <w:i/>
          <w:color w:val="555B66"/>
        </w:rPr>
        <w:t>Cette rubrique évite de rester bloqué chez un prestataire. Ne la supprimez pas.</w:t>
      </w:r>
    </w:p>
    <w:p>
      <w:pPr>
        <w:pStyle w:val="ListBullet"/>
      </w:pPr>
      <w:r>
        <w:t>Le nom de domaine est déposé au nom de la commune, qui en garde les accès ;</w:t>
      </w:r>
    </w:p>
    <w:p>
      <w:pPr>
        <w:pStyle w:val="ListBullet"/>
      </w:pPr>
      <w:r>
        <w:t>La commune reste propriétaire de ses contenus, données, photos et documents ;</w:t>
      </w:r>
    </w:p>
    <w:p>
      <w:pPr>
        <w:pStyle w:val="ListBullet"/>
      </w:pPr>
      <w:r>
        <w:t>EX-48 : un export complet des contenus et des données dans un format ouvert et documenté, sans frais, à tout moment ;</w:t>
      </w:r>
    </w:p>
    <w:p>
      <w:pPr>
        <w:pStyle w:val="ListBullet"/>
      </w:pPr>
      <w:r>
        <w:t>EX-49 : un plan de réversibilité remis avec l’offre, qui fixe le délai, le format et l’aide au nouveau prestataire ;</w:t>
      </w:r>
    </w:p>
    <w:p>
      <w:pPr>
        <w:pStyle w:val="ListBullet"/>
      </w:pPr>
      <w:r>
        <w:t>EX-50 : le candidat précise à qui appartiennent les développements faits pour la commune.</w:t>
      </w:r>
    </w:p>
    <w:p>
      <w:pPr>
        <w:pStyle w:val="Heading1"/>
      </w:pPr>
      <w:r>
        <w:t>19. Calendrier et livrables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5046"/>
        <w:gridCol w:w="1984"/>
      </w:tblGrid>
      <w:tr>
        <w:tc>
          <w:tcPr>
            <w:tcW w:type="dxa" w:w="2041"/>
            <w:shd w:val="clear" w:color="auto" w:fill="DCE6F0"/>
          </w:tcPr>
          <w:p>
            <w:r/>
            <w:r>
              <w:rPr>
                <w:b/>
              </w:rPr>
              <w:t>Phase</w:t>
            </w:r>
          </w:p>
        </w:tc>
        <w:tc>
          <w:tcPr>
            <w:tcW w:type="dxa" w:w="5046"/>
            <w:shd w:val="clear" w:color="auto" w:fill="DCE6F0"/>
          </w:tcPr>
          <w:p>
            <w:r/>
            <w:r>
              <w:rPr>
                <w:b/>
              </w:rPr>
              <w:t>Livrable</w:t>
            </w:r>
          </w:p>
        </w:tc>
        <w:tc>
          <w:tcPr>
            <w:tcW w:type="dxa" w:w="1984"/>
            <w:shd w:val="clear" w:color="auto" w:fill="DCE6F0"/>
          </w:tcPr>
          <w:p>
            <w:r/>
            <w:r>
              <w:rPr>
                <w:b/>
              </w:rPr>
              <w:t>Date cible</w:t>
            </w:r>
          </w:p>
        </w:tc>
      </w:tr>
      <w:tr>
        <w:tc>
          <w:tcPr>
            <w:tcW w:type="dxa" w:w="2041"/>
          </w:tcPr>
          <w:p>
            <w:r>
              <w:t>Lancement</w:t>
            </w:r>
          </w:p>
        </w:tc>
        <w:tc>
          <w:tcPr>
            <w:tcW w:type="dxa" w:w="5046"/>
          </w:tcPr>
          <w:p>
            <w:r>
              <w:t>Planning détaillé, compte rendu de la réunion de lancement</w:t>
            </w:r>
          </w:p>
        </w:tc>
        <w:tc>
          <w:tcPr>
            <w:tcW w:type="dxa" w:w="1984"/>
          </w:tcPr>
          <w:p>
            <w:r>
              <w:t>[date]</w:t>
            </w:r>
          </w:p>
        </w:tc>
      </w:tr>
      <w:tr>
        <w:tc>
          <w:tcPr>
            <w:tcW w:type="dxa" w:w="2041"/>
          </w:tcPr>
          <w:p>
            <w:r>
              <w:t>Conception</w:t>
            </w:r>
          </w:p>
        </w:tc>
        <w:tc>
          <w:tcPr>
            <w:tcW w:type="dxa" w:w="5046"/>
          </w:tcPr>
          <w:p>
            <w:r>
              <w:t>Arborescence, maquettes, pistes graphiques</w:t>
            </w:r>
          </w:p>
        </w:tc>
        <w:tc>
          <w:tcPr>
            <w:tcW w:type="dxa" w:w="1984"/>
          </w:tcPr>
          <w:p>
            <w:r>
              <w:t>[date]</w:t>
            </w:r>
          </w:p>
        </w:tc>
      </w:tr>
      <w:tr>
        <w:tc>
          <w:tcPr>
            <w:tcW w:type="dxa" w:w="2041"/>
          </w:tcPr>
          <w:p>
            <w:r>
              <w:t>Réalisation</w:t>
            </w:r>
          </w:p>
        </w:tc>
        <w:tc>
          <w:tcPr>
            <w:tcW w:type="dxa" w:w="5046"/>
          </w:tcPr>
          <w:p>
            <w:r>
              <w:t>Site de préproduction, accès pour la commune</w:t>
            </w:r>
          </w:p>
        </w:tc>
        <w:tc>
          <w:tcPr>
            <w:tcW w:type="dxa" w:w="1984"/>
          </w:tcPr>
          <w:p>
            <w:r>
              <w:t>[date]</w:t>
            </w:r>
          </w:p>
        </w:tc>
      </w:tr>
      <w:tr>
        <w:tc>
          <w:tcPr>
            <w:tcW w:type="dxa" w:w="2041"/>
          </w:tcPr>
          <w:p>
            <w:r>
              <w:t>Reprise et formation</w:t>
            </w:r>
          </w:p>
        </w:tc>
        <w:tc>
          <w:tcPr>
            <w:tcW w:type="dxa" w:w="5046"/>
          </w:tcPr>
          <w:p>
            <w:r>
              <w:t>Contenus repris, agents formés</w:t>
            </w:r>
          </w:p>
        </w:tc>
        <w:tc>
          <w:tcPr>
            <w:tcW w:type="dxa" w:w="1984"/>
          </w:tcPr>
          <w:p>
            <w:r>
              <w:t>[date]</w:t>
            </w:r>
          </w:p>
        </w:tc>
      </w:tr>
      <w:tr>
        <w:tc>
          <w:tcPr>
            <w:tcW w:type="dxa" w:w="2041"/>
          </w:tcPr>
          <w:p>
            <w:r>
              <w:t>Recette</w:t>
            </w:r>
          </w:p>
        </w:tc>
        <w:tc>
          <w:tcPr>
            <w:tcW w:type="dxa" w:w="5046"/>
          </w:tcPr>
          <w:p>
            <w:r>
              <w:t>Tests des parcours de la rubrique 4, rapport d’audit</w:t>
            </w:r>
          </w:p>
        </w:tc>
        <w:tc>
          <w:tcPr>
            <w:tcW w:type="dxa" w:w="1984"/>
          </w:tcPr>
          <w:p>
            <w:r>
              <w:t>[date]</w:t>
            </w:r>
          </w:p>
        </w:tc>
      </w:tr>
      <w:tr>
        <w:tc>
          <w:tcPr>
            <w:tcW w:type="dxa" w:w="2041"/>
          </w:tcPr>
          <w:p>
            <w:r>
              <w:t>Mise en ligne</w:t>
            </w:r>
          </w:p>
        </w:tc>
        <w:tc>
          <w:tcPr>
            <w:tcW w:type="dxa" w:w="5046"/>
          </w:tcPr>
          <w:p>
            <w:r>
              <w:t>Site en production, redirections actives</w:t>
            </w:r>
          </w:p>
        </w:tc>
        <w:tc>
          <w:tcPr>
            <w:tcW w:type="dxa" w:w="1984"/>
          </w:tcPr>
          <w:p>
            <w:r>
              <w:t>[date]</w:t>
            </w:r>
          </w:p>
        </w:tc>
      </w:tr>
      <w:tr>
        <w:tc>
          <w:tcPr>
            <w:tcW w:type="dxa" w:w="2041"/>
          </w:tcPr>
          <w:p>
            <w:r>
              <w:t>Garantie</w:t>
            </w:r>
          </w:p>
        </w:tc>
        <w:tc>
          <w:tcPr>
            <w:tcW w:type="dxa" w:w="5046"/>
          </w:tcPr>
          <w:p>
            <w:r>
              <w:t>Correction des défauts relevés après la mise en ligne</w:t>
            </w:r>
          </w:p>
        </w:tc>
        <w:tc>
          <w:tcPr>
            <w:tcW w:type="dxa" w:w="1984"/>
          </w:tcPr>
          <w:p>
            <w:r>
              <w:t>[3 mois]</w:t>
            </w:r>
          </w:p>
        </w:tc>
      </w:tr>
    </w:tbl>
    <w:p/>
    <w:p>
      <w:pPr>
        <w:pStyle w:val="Heading1"/>
      </w:pPr>
      <w:r>
        <w:t>20. Prix et durée du contrat</w:t>
      </w:r>
    </w:p>
    <w:p>
      <w:pPr>
        <w:pStyle w:val="ListBullet"/>
      </w:pPr>
      <w:r>
        <w:t>Durée : [1 an], reconductible [3 fois] par tacite reconduction, soit [4 ans] au plus ;</w:t>
      </w:r>
    </w:p>
    <w:p>
      <w:pPr>
        <w:pStyle w:val="ListBullet"/>
      </w:pPr>
      <w:r>
        <w:t>EX-51 : le candidat détaille son prix sur toute la durée (création, abonnement ou maintenance, options) ;</w:t>
      </w:r>
    </w:p>
    <w:p>
      <w:pPr>
        <w:pStyle w:val="ListBullet"/>
      </w:pPr>
      <w:r>
        <w:t>EX-52 : le candidat indique la formule de révision des prix ;</w:t>
      </w:r>
    </w:p>
    <w:p>
      <w:pPr>
        <w:pStyle w:val="ListBullet"/>
      </w:pPr>
      <w:r>
        <w:t>Facturation sur Chorus Pro, paiement par mandat administratif dans un délai de 30 jours.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28"/>
        <w:gridCol w:w="1361"/>
        <w:gridCol w:w="1361"/>
        <w:gridCol w:w="1361"/>
        <w:gridCol w:w="1361"/>
      </w:tblGrid>
      <w:tr>
        <w:tc>
          <w:tcPr>
            <w:tcW w:type="dxa" w:w="3628"/>
            <w:shd w:val="clear" w:color="auto" w:fill="DCE6F0"/>
          </w:tcPr>
          <w:p>
            <w:r/>
            <w:r>
              <w:rPr>
                <w:b/>
              </w:rPr>
              <w:t>Poste</w:t>
            </w:r>
          </w:p>
        </w:tc>
        <w:tc>
          <w:tcPr>
            <w:tcW w:type="dxa" w:w="1361"/>
            <w:shd w:val="clear" w:color="auto" w:fill="DCE6F0"/>
          </w:tcPr>
          <w:p>
            <w:r/>
            <w:r>
              <w:rPr>
                <w:b/>
              </w:rPr>
              <w:t>Année 1</w:t>
            </w:r>
          </w:p>
        </w:tc>
        <w:tc>
          <w:tcPr>
            <w:tcW w:type="dxa" w:w="1361"/>
            <w:shd w:val="clear" w:color="auto" w:fill="DCE6F0"/>
          </w:tcPr>
          <w:p>
            <w:r/>
            <w:r>
              <w:rPr>
                <w:b/>
              </w:rPr>
              <w:t>Année 2</w:t>
            </w:r>
          </w:p>
        </w:tc>
        <w:tc>
          <w:tcPr>
            <w:tcW w:type="dxa" w:w="1361"/>
            <w:shd w:val="clear" w:color="auto" w:fill="DCE6F0"/>
          </w:tcPr>
          <w:p>
            <w:r/>
            <w:r>
              <w:rPr>
                <w:b/>
              </w:rPr>
              <w:t>Année 3</w:t>
            </w:r>
          </w:p>
        </w:tc>
        <w:tc>
          <w:tcPr>
            <w:tcW w:type="dxa" w:w="1361"/>
            <w:shd w:val="clear" w:color="auto" w:fill="DCE6F0"/>
          </w:tcPr>
          <w:p>
            <w:r/>
            <w:r>
              <w:rPr>
                <w:b/>
              </w:rPr>
              <w:t>Année 4</w:t>
            </w:r>
          </w:p>
        </w:tc>
      </w:tr>
      <w:tr>
        <w:tc>
          <w:tcPr>
            <w:tcW w:type="dxa" w:w="3628"/>
          </w:tcPr>
          <w:p>
            <w:r>
              <w:t>Création ou mise en service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3628"/>
          </w:tcPr>
          <w:p>
            <w:r>
              <w:t>Abonnement, hébergement et maintenance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3628"/>
          </w:tcPr>
          <w:p>
            <w:r>
              <w:t>Reprise des contenus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3628"/>
          </w:tcPr>
          <w:p>
            <w:r>
              <w:t>Formation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3628"/>
          </w:tcPr>
          <w:p>
            <w:r>
              <w:t>Options retenues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3628"/>
          </w:tcPr>
          <w:p>
            <w:r>
              <w:t>Total HT</w:t>
            </w:r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</w:tbl>
    <w:p/>
    <w:p>
      <w:r/>
    </w:p>
    <w:p>
      <w:pPr>
        <w:pStyle w:val="Heading1"/>
      </w:pPr>
      <w:r>
        <w:t>Annexe A : critères d’analyse des offres</w:t>
      </w:r>
    </w:p>
    <w:p>
      <w:r>
        <w:rPr>
          <w:i/>
          <w:color w:val="555B66"/>
        </w:rPr>
        <w:t>Publiez les critères et leur poids dans le règlement de la consultation. Vous ne pourrez plus les changer ensuite.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102"/>
        <w:gridCol w:w="1701"/>
      </w:tblGrid>
      <w:tr>
        <w:tc>
          <w:tcPr>
            <w:tcW w:type="dxa" w:w="2268"/>
            <w:shd w:val="clear" w:color="auto" w:fill="DCE6F0"/>
          </w:tcPr>
          <w:p>
            <w:r/>
            <w:r>
              <w:rPr>
                <w:b/>
              </w:rPr>
              <w:t>Critère</w:t>
            </w:r>
          </w:p>
        </w:tc>
        <w:tc>
          <w:tcPr>
            <w:tcW w:type="dxa" w:w="5102"/>
            <w:shd w:val="clear" w:color="auto" w:fill="DCE6F0"/>
          </w:tcPr>
          <w:p>
            <w:r/>
            <w:r>
              <w:rPr>
                <w:b/>
              </w:rPr>
              <w:t>Sous-critère</w:t>
            </w:r>
          </w:p>
        </w:tc>
        <w:tc>
          <w:tcPr>
            <w:tcW w:type="dxa" w:w="1701"/>
            <w:shd w:val="clear" w:color="auto" w:fill="DCE6F0"/>
          </w:tcPr>
          <w:p>
            <w:r/>
            <w:r>
              <w:rPr>
                <w:b/>
              </w:rPr>
              <w:t>Poids</w:t>
            </w:r>
          </w:p>
        </w:tc>
      </w:tr>
      <w:tr>
        <w:tc>
          <w:tcPr>
            <w:tcW w:type="dxa" w:w="2268"/>
          </w:tcPr>
          <w:p>
            <w:r>
              <w:t>Valeur technique</w:t>
            </w:r>
          </w:p>
        </w:tc>
        <w:tc>
          <w:tcPr>
            <w:tcW w:type="dxa" w:w="5102"/>
          </w:tcPr>
          <w:p>
            <w:r>
              <w:t>Réponse aux fonctions et exigences</w:t>
            </w:r>
          </w:p>
        </w:tc>
        <w:tc>
          <w:tcPr>
            <w:tcW w:type="dxa" w:w="1701"/>
          </w:tcPr>
          <w:p>
            <w:r>
              <w:t>[25 %]</w:t>
            </w:r>
          </w:p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5102"/>
          </w:tcPr>
          <w:p>
            <w:r>
              <w:t>Espace d’administration, jugé en démonstration</w:t>
            </w:r>
          </w:p>
        </w:tc>
        <w:tc>
          <w:tcPr>
            <w:tcW w:type="dxa" w:w="1701"/>
          </w:tcPr>
          <w:p>
            <w:r>
              <w:t>[10 %]</w:t>
            </w:r>
          </w:p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5102"/>
          </w:tcPr>
          <w:p>
            <w:r>
              <w:t>Accessibilité, sécurité et réversibilité</w:t>
            </w:r>
          </w:p>
        </w:tc>
        <w:tc>
          <w:tcPr>
            <w:tcW w:type="dxa" w:w="1701"/>
          </w:tcPr>
          <w:p>
            <w:r>
              <w:t>[15 %]</w:t>
            </w:r>
          </w:p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5102"/>
          </w:tcPr>
          <w:p>
            <w:r>
              <w:t>Méthode, planning et équipe</w:t>
            </w:r>
          </w:p>
        </w:tc>
        <w:tc>
          <w:tcPr>
            <w:tcW w:type="dxa" w:w="1701"/>
          </w:tcPr>
          <w:p>
            <w:r>
              <w:t>[10 %]</w:t>
            </w:r>
          </w:p>
        </w:tc>
      </w:tr>
      <w:tr>
        <w:tc>
          <w:tcPr>
            <w:tcW w:type="dxa" w:w="2268"/>
          </w:tcPr>
          <w:p>
            <w:r>
              <w:t>Prix</w:t>
            </w:r>
          </w:p>
        </w:tc>
        <w:tc>
          <w:tcPr>
            <w:tcW w:type="dxa" w:w="5102"/>
          </w:tcPr>
          <w:p>
            <w:r>
              <w:t>Coût total sur toute la durée du contrat</w:t>
            </w:r>
          </w:p>
        </w:tc>
        <w:tc>
          <w:tcPr>
            <w:tcW w:type="dxa" w:w="1701"/>
          </w:tcPr>
          <w:p>
            <w:r>
              <w:t>[35 %]</w:t>
            </w:r>
          </w:p>
        </w:tc>
      </w:tr>
      <w:tr>
        <w:tc>
          <w:tcPr>
            <w:tcW w:type="dxa" w:w="2268"/>
          </w:tcPr>
          <w:p>
            <w:r>
              <w:t>Qualité de service</w:t>
            </w:r>
          </w:p>
        </w:tc>
        <w:tc>
          <w:tcPr>
            <w:tcW w:type="dxa" w:w="5102"/>
          </w:tcPr>
          <w:p>
            <w:r>
              <w:t>Délais d’intervention, formation, assistance</w:t>
            </w:r>
          </w:p>
        </w:tc>
        <w:tc>
          <w:tcPr>
            <w:tcW w:type="dxa" w:w="1701"/>
          </w:tcPr>
          <w:p>
            <w:r>
              <w:t>[5 %]</w:t>
            </w:r>
          </w:p>
        </w:tc>
      </w:tr>
    </w:tbl>
    <w:p/>
    <w:p>
      <w:pPr>
        <w:pStyle w:val="Heading1"/>
      </w:pPr>
      <w:r>
        <w:t>Annexe B : pièces demandées aux candidats</w:t>
      </w:r>
    </w:p>
    <w:p>
      <w:pPr>
        <w:pStyle w:val="ListBullet"/>
      </w:pPr>
      <w:r>
        <w:t>Le questionnaire de l’annexe C rempli ;</w:t>
      </w:r>
    </w:p>
    <w:p>
      <w:pPr>
        <w:pStyle w:val="ListBullet"/>
      </w:pPr>
      <w:r>
        <w:t>Le tableau des fonctions (rubrique 6) rempli ;</w:t>
      </w:r>
    </w:p>
    <w:p>
      <w:pPr>
        <w:pStyle w:val="ListBullet"/>
      </w:pPr>
      <w:r>
        <w:t>Le détail du prix sur toute la durée (rubrique 20) ;</w:t>
      </w:r>
    </w:p>
    <w:p>
      <w:pPr>
        <w:pStyle w:val="ListBullet"/>
      </w:pPr>
      <w:r>
        <w:t>Le plan de réversibilité ;</w:t>
      </w:r>
    </w:p>
    <w:p>
      <w:pPr>
        <w:pStyle w:val="ListBullet"/>
      </w:pPr>
      <w:r>
        <w:t>Le contrat de sous-traitance RGPD et la liste des sous-traitants ;</w:t>
      </w:r>
    </w:p>
    <w:p>
      <w:pPr>
        <w:pStyle w:val="ListBullet"/>
      </w:pPr>
      <w:r>
        <w:t>Trois sites de communes de taille comparable, avec un contact dans chaque commune ;</w:t>
      </w:r>
    </w:p>
    <w:p>
      <w:pPr>
        <w:pStyle w:val="ListBullet"/>
      </w:pPr>
      <w:r>
        <w:t>Un accès de démonstration à l’espace d’administration.</w:t>
      </w:r>
    </w:p>
    <w:p>
      <w:pPr>
        <w:pStyle w:val="Heading1"/>
      </w:pPr>
      <w:r>
        <w:t>Annexe C : questionnaire de réponse</w:t>
      </w:r>
    </w:p>
    <w:p>
      <w:r>
        <w:rPr>
          <w:i/>
          <w:color w:val="555B66"/>
        </w:rPr>
        <w:t>Le candidat répond à chaque exigence. « Oui » sans preuve compte comme « non ».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2494"/>
        <w:gridCol w:w="5102"/>
      </w:tblGrid>
      <w:tr>
        <w:tc>
          <w:tcPr>
            <w:tcW w:type="dxa" w:w="1474"/>
            <w:shd w:val="clear" w:color="auto" w:fill="DCE6F0"/>
          </w:tcPr>
          <w:p>
            <w:r/>
            <w:r>
              <w:rPr>
                <w:b/>
              </w:rPr>
              <w:t>Exigence</w:t>
            </w:r>
          </w:p>
        </w:tc>
        <w:tc>
          <w:tcPr>
            <w:tcW w:type="dxa" w:w="2494"/>
            <w:shd w:val="clear" w:color="auto" w:fill="DCE6F0"/>
          </w:tcPr>
          <w:p>
            <w:r/>
            <w:r>
              <w:rPr>
                <w:b/>
              </w:rPr>
              <w:t>Réponse (oui, partiel, non)</w:t>
            </w:r>
          </w:p>
        </w:tc>
        <w:tc>
          <w:tcPr>
            <w:tcW w:type="dxa" w:w="5102"/>
            <w:shd w:val="clear" w:color="auto" w:fill="DCE6F0"/>
          </w:tcPr>
          <w:p>
            <w:r/>
            <w:r>
              <w:rPr>
                <w:b/>
              </w:rPr>
              <w:t>Comment, et avec quelle preuve</w:t>
            </w:r>
          </w:p>
        </w:tc>
      </w:tr>
      <w:tr>
        <w:tc>
          <w:tcPr>
            <w:tcW w:type="dxa" w:w="1474"/>
          </w:tcPr>
          <w:p>
            <w:r>
              <w:t>EX-01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EX-02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EX-03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EX-04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EX-05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EX-06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EX-07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EX-08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EX-09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EX-10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EX-11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EX-12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EX-13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EX-14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EX-15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EX-16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EX-17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EX-18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EX-19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EX-20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EX-21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EX-22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EX-23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EX-24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EX-25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EX-26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EX-27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EX-28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EX-29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EX-30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EX-31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EX-32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EX-33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EX-34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EX-35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EX-36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EX-37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EX-38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EX-39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EX-40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EX-41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EX-42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EX-43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EX-44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EX-45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EX-46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EX-47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EX-48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EX-49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EX-50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EX-51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1474"/>
          </w:tcPr>
          <w:p>
            <w:r>
              <w:t>EX-52</w:t>
            </w:r>
          </w:p>
        </w:tc>
        <w:tc>
          <w:tcPr>
            <w:tcW w:type="dxa" w:w="2494"/>
          </w:tcPr>
          <w:p>
            <w:r/>
          </w:p>
        </w:tc>
        <w:tc>
          <w:tcPr>
            <w:tcW w:type="dxa" w:w="5102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B66"/>
        <w:sz w:val="16"/>
      </w:rPr>
      <w:t>Modèle gratuit proposé par Mairie.app, libre de réutilisation et de modification.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du site internet de la commune (modèle complet)</dc:title>
  <dc:subject>Modèle complet de cahier des charges pour le site internet d’une commune de 3 500 habitants et plus</dc:subject>
  <dc:creator>Mairie.app</dc:creator>
  <cp:keywords>cahier des charges, site internet, mairie, commune, modèle</cp:keywords>
  <dc:description/>
  <cp:lastModifiedBy>Mairie.app</cp:lastModifiedBy>
  <cp:revision>1</cp:revision>
  <dcterms:created xsi:type="dcterms:W3CDTF">2013-12-23T23:15:00Z</dcterms:created>
  <dcterms:modified xsi:type="dcterms:W3CDTF">2013-12-23T23:15:00Z</dcterms:modified>
  <cp:category/>
</cp:coreProperties>
</file>