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jc w:val="center"/>
      </w:pPr>
      <w:r>
        <w:rPr>
          <w:b/>
          <w:color w:val="1F4E79"/>
          <w:sz w:val="56"/>
        </w:rPr>
        <w:t>Cahier des charges</w:t>
      </w:r>
    </w:p>
    <w:p>
      <w:pPr>
        <w:jc w:val="center"/>
      </w:pPr>
      <w:r>
        <w:rPr>
          <w:sz w:val="30"/>
        </w:rPr>
        <w:t>Création du site internet de la commune de [nom de la commune]</w:t>
      </w:r>
    </w:p>
    <w:p>
      <w:pPr>
        <w:jc w:val="center"/>
      </w:pPr>
      <w:r>
        <w:t>Pouvoir adjudicateur : commune de [nom], [adresse de la mairie]</w:t>
      </w:r>
    </w:p>
    <w:p>
      <w:pPr>
        <w:jc w:val="center"/>
      </w:pPr>
      <w:r>
        <w:t>Personne à contacter : [nom, fonction, courriel, téléphone]</w:t>
      </w:r>
    </w:p>
    <w:p>
      <w:pPr>
        <w:jc w:val="center"/>
      </w:pPr>
      <w:r>
        <w:t>Date limite de réponse : [jour mois année, heure]</w:t>
      </w:r>
    </w:p>
    <w:p>
      <w:pPr>
        <w:jc w:val="center"/>
      </w:pPr>
      <w:r>
        <w:t>Version du document : [1.0], du [date]</w:t>
      </w:r>
    </w:p>
    <w:p>
      <w:r/>
    </w:p>
    <w:p>
      <w:pPr>
        <w:pStyle w:val="Heading1"/>
      </w:pPr>
      <w:r>
        <w:t>Mode d’emploi du modèle</w:t>
      </w:r>
    </w:p>
    <w:p>
      <w:r>
        <w:rPr>
          <w:i/>
          <w:color w:val="555B66"/>
        </w:rPr>
        <w:t>Cette page sert à la commune. Supprimez-la avant d’envoyer le document aux prestataires.</w:t>
      </w:r>
    </w:p>
    <w:p>
      <w:pPr>
        <w:pStyle w:val="ListBullet"/>
      </w:pPr>
      <w:r>
        <w:t>Les textes en gris et en italique vous expliquent quoi écrire. Supprimez-les une fois la rubrique remplie.</w:t>
      </w:r>
    </w:p>
    <w:p>
      <w:pPr>
        <w:pStyle w:val="ListBullet"/>
      </w:pPr>
      <w:r>
        <w:t>Les textes entre crochets et en bleu sont à remplacer par vos informations.</w:t>
      </w:r>
    </w:p>
    <w:p>
      <w:pPr>
        <w:pStyle w:val="ListBullet"/>
      </w:pPr>
      <w:r>
        <w:t>Les phrases en noir sont des exemples de formulation. Gardez-les, adaptez-les ou supprimez-les.</w:t>
      </w:r>
    </w:p>
    <w:p>
      <w:pPr>
        <w:pStyle w:val="ListBullet"/>
      </w:pPr>
      <w:r>
        <w:t>Ce modèle vise les communes de moins de 3 500 habitants. Au-delà, prenez le modèle complet.</w:t>
      </w:r>
    </w:p>
    <w:p>
      <w:pPr>
        <w:pStyle w:val="ListBullet"/>
      </w:pPr>
      <w:r>
        <w:t>Pour une petite commune, 5 à 10 pages suffisent. Un document court reçoit des réponses plus faciles à comparer.</w:t>
      </w:r>
    </w:p>
    <w:p>
      <w:pPr>
        <w:pStyle w:val="ListBullet"/>
      </w:pPr>
      <w:r>
        <w:t>Faites relire le document par un élu et par l’agent qui mettra le site à jour.</w:t>
      </w:r>
    </w:p>
    <w:p>
      <w:r>
        <w:rPr>
          <w:i/>
          <w:color w:val="555B66"/>
        </w:rPr>
        <w:t>Procédure : sous 60 000 € HT pour toute la durée du contrat, options et reconductions comprises, la commune peut commander sans publicité ni mise en concurrence. Elle doit quand même retenir une offre pertinente, bien utiliser l’argent public et ne pas s’adresser toujours au même prestataire. Comparer deux ou trois offres reste la bonne pratique. Au-dessus, votre service des marchés, votre intercommunalité ou votre agence technique départementale vous indique la procédure.</w:t>
      </w:r>
    </w:p>
    <w:p>
      <w:r/>
    </w:p>
    <w:p>
      <w:pPr>
        <w:pStyle w:val="Heading1"/>
      </w:pPr>
      <w:r>
        <w:t>1. Présentation de la commune</w:t>
      </w:r>
    </w:p>
    <w:p>
      <w:r>
        <w:rPr>
          <w:i/>
          <w:color w:val="555B66"/>
        </w:rPr>
        <w:t>Décrivez la commune en quelques lignes. Le prestataire doit comprendre à qui il s’adresse.</w:t>
      </w:r>
    </w:p>
    <w:p>
      <w:r>
        <w:rPr>
          <w:color w:val="1F4E79"/>
        </w:rPr>
        <w:t>[À compléter : nombre d’habitants, département, intercommunalité de rattachement]</w:t>
      </w:r>
    </w:p>
    <w:p>
      <w:r>
        <w:rPr>
          <w:color w:val="1F4E79"/>
        </w:rPr>
        <w:t>[À compléter : services municipaux ouverts au public, écoles, équipements, associations]</w:t>
      </w:r>
    </w:p>
    <w:p>
      <w:r>
        <w:rPr>
          <w:color w:val="1F4E79"/>
        </w:rPr>
        <w:t>[À compléter : site actuel : adresse, date de mise en ligne, prestataire, ce qui ne va plus]</w:t>
      </w:r>
    </w:p>
    <w:p>
      <w:r>
        <w:t>La commune compte [nombre] habitants. Son site actuel date de [année]. Il ne s’affiche pas correctement sur téléphone et les agents ne peuvent pas le mettre à jour seuls.</w:t>
      </w:r>
    </w:p>
    <w:p>
      <w:pPr>
        <w:pStyle w:val="Heading1"/>
      </w:pPr>
      <w:r>
        <w:t>2. Objectifs du site</w:t>
      </w:r>
    </w:p>
    <w:p>
      <w:r>
        <w:rPr>
          <w:i/>
          <w:color w:val="555B66"/>
        </w:rPr>
        <w:t>Trois à cinq objectifs, du plus important au moins important. Chaque objectif doit pouvoir se vérifier.</w:t>
      </w:r>
    </w:p>
    <w:p>
      <w:r>
        <w:t>Le nouveau site doit permettre de :</w:t>
      </w:r>
    </w:p>
    <w:p>
      <w:pPr>
        <w:pStyle w:val="ListBullet"/>
      </w:pPr>
      <w:r>
        <w:t>informer les habitants de la vie locale (actualités, agenda, travaux, alertes) ;</w:t>
      </w:r>
    </w:p>
    <w:p>
      <w:pPr>
        <w:pStyle w:val="ListBullet"/>
      </w:pPr>
      <w:r>
        <w:t>publier les actes et documents officiels dans les délais légaux ;</w:t>
      </w:r>
    </w:p>
    <w:p>
      <w:pPr>
        <w:pStyle w:val="ListBullet"/>
      </w:pPr>
      <w:r>
        <w:t>orienter les habitants vers leurs démarches et les bons interlocuteurs ;</w:t>
      </w:r>
    </w:p>
    <w:p>
      <w:pPr>
        <w:pStyle w:val="ListBullet"/>
      </w:pPr>
      <w:r>
        <w:t>recevoir les demandes et signalements des habitants et y répondre ;</w:t>
      </w:r>
    </w:p>
    <w:p>
      <w:pPr>
        <w:pStyle w:val="ListBullet"/>
      </w:pPr>
      <w:r>
        <w:t>être mis à jour par les agents, sans passer par un prestataire.</w:t>
      </w:r>
    </w:p>
    <w:p>
      <w:pPr>
        <w:pStyle w:val="Heading1"/>
      </w:pPr>
      <w:r>
        <w:t>3. Publics et usages</w:t>
      </w:r>
    </w:p>
    <w:p>
      <w:r>
        <w:rPr>
          <w:i/>
          <w:color w:val="555B66"/>
        </w:rPr>
        <w:t>Qui consultera le site, depuis quel appareil, pour faire quoi ? Les réponses guident la conception.</w:t>
      </w:r>
    </w:p>
    <w:tbl>
      <w:tblPr>
        <w:tblStyle w:val="TableGrid"/>
        <w:tblW w:type="auto" w:w="0"/>
        <w:jc w:val="center"/>
        <w:tblLayout w:type="fixed"/>
        <w:tblLook w:firstColumn="1" w:firstRow="1" w:lastColumn="0" w:lastRow="0" w:noHBand="0" w:noVBand="1" w:val="04A0"/>
      </w:tblPr>
      <w:tblGrid>
        <w:gridCol w:w="2551"/>
        <w:gridCol w:w="6520"/>
      </w:tblGrid>
      <w:tr>
        <w:tc>
          <w:tcPr>
            <w:tcW w:type="dxa" w:w="2551"/>
            <w:shd w:val="clear" w:color="auto" w:fill="DCE6F0"/>
          </w:tcPr>
          <w:p>
            <w:r/>
            <w:r>
              <w:rPr>
                <w:b/>
              </w:rPr>
              <w:t>Public</w:t>
            </w:r>
          </w:p>
        </w:tc>
        <w:tc>
          <w:tcPr>
            <w:tcW w:type="dxa" w:w="6520"/>
            <w:shd w:val="clear" w:color="auto" w:fill="DCE6F0"/>
          </w:tcPr>
          <w:p>
            <w:r/>
            <w:r>
              <w:rPr>
                <w:b/>
              </w:rPr>
              <w:t>Ce qu’il vient faire sur le site</w:t>
            </w:r>
          </w:p>
        </w:tc>
      </w:tr>
      <w:tr>
        <w:tc>
          <w:tcPr>
            <w:tcW w:type="dxa" w:w="2551"/>
          </w:tcPr>
          <w:p>
            <w:r>
              <w:t>Habitants</w:t>
            </w:r>
          </w:p>
        </w:tc>
        <w:tc>
          <w:tcPr>
            <w:tcW w:type="dxa" w:w="6520"/>
          </w:tcPr>
          <w:p>
            <w:r>
              <w:t>[horaires, démarches, menus de cantine, agenda, signalements]</w:t>
            </w:r>
          </w:p>
        </w:tc>
      </w:tr>
      <w:tr>
        <w:tc>
          <w:tcPr>
            <w:tcW w:type="dxa" w:w="2551"/>
          </w:tcPr>
          <w:p>
            <w:r>
              <w:t>Nouveaux arrivants</w:t>
            </w:r>
          </w:p>
        </w:tc>
        <w:tc>
          <w:tcPr>
            <w:tcW w:type="dxa" w:w="6520"/>
          </w:tcPr>
          <w:p>
            <w:r>
              <w:t>[écoles, déchets, associations, inscription sur les listes électorales]</w:t>
            </w:r>
          </w:p>
        </w:tc>
      </w:tr>
      <w:tr>
        <w:tc>
          <w:tcPr>
            <w:tcW w:type="dxa" w:w="2551"/>
          </w:tcPr>
          <w:p>
            <w:r>
              <w:t>Associations</w:t>
            </w:r>
          </w:p>
        </w:tc>
        <w:tc>
          <w:tcPr>
            <w:tcW w:type="dxa" w:w="6520"/>
          </w:tcPr>
          <w:p>
            <w:r>
              <w:t>[annoncer un événement, réserver une salle]</w:t>
            </w:r>
          </w:p>
        </w:tc>
      </w:tr>
      <w:tr>
        <w:tc>
          <w:tcPr>
            <w:tcW w:type="dxa" w:w="2551"/>
          </w:tcPr>
          <w:p>
            <w:r>
              <w:t>Entreprises</w:t>
            </w:r>
          </w:p>
        </w:tc>
        <w:tc>
          <w:tcPr>
            <w:tcW w:type="dxa" w:w="6520"/>
          </w:tcPr>
          <w:p>
            <w:r>
              <w:t>[marchés publics, urbanisme, contacts]</w:t>
            </w:r>
          </w:p>
        </w:tc>
      </w:tr>
      <w:tr>
        <w:tc>
          <w:tcPr>
            <w:tcW w:type="dxa" w:w="2551"/>
          </w:tcPr>
          <w:p>
            <w:r>
              <w:t>Élus et agents</w:t>
            </w:r>
          </w:p>
        </w:tc>
        <w:tc>
          <w:tcPr>
            <w:tcW w:type="dxa" w:w="6520"/>
          </w:tcPr>
          <w:p>
            <w:r>
              <w:t>[publier, répondre aux demandes, suivre les statistiques]</w:t>
            </w:r>
          </w:p>
        </w:tc>
      </w:tr>
    </w:tbl>
    <w:p/>
    <w:p>
      <w:r>
        <w:rPr>
          <w:color w:val="1F4E79"/>
        </w:rPr>
        <w:t>[À compléter : part des visites depuis un téléphone sur le site actuel, si vous la connaissez]</w:t>
      </w:r>
    </w:p>
    <w:p>
      <w:pPr>
        <w:pStyle w:val="Heading1"/>
      </w:pPr>
      <w:r>
        <w:t>4. Contenus et arborescence</w:t>
      </w:r>
    </w:p>
    <w:p>
      <w:r>
        <w:rPr>
          <w:i/>
          <w:color w:val="555B66"/>
        </w:rPr>
        <w:t>Listez les grandes rubriques. Un site de commune dépasse rarement trois niveaux de menu. Indiquez qui rédige les textes : la commune ou le prestataire.</w:t>
      </w:r>
    </w:p>
    <w:p>
      <w:pPr>
        <w:pStyle w:val="ListBullet"/>
      </w:pPr>
      <w:r>
        <w:t>Mairie : élus, conseil municipal, services, horaires, publications officielles ;</w:t>
      </w:r>
    </w:p>
    <w:p>
      <w:pPr>
        <w:pStyle w:val="ListBullet"/>
      </w:pPr>
      <w:r>
        <w:t>Vie quotidienne : écoles, périscolaire, déchets, urbanisme, état civil ;</w:t>
      </w:r>
    </w:p>
    <w:p>
      <w:pPr>
        <w:pStyle w:val="ListBullet"/>
      </w:pPr>
      <w:r>
        <w:t>Vivre ici : associations, équipements, commerces, patrimoine ;</w:t>
      </w:r>
    </w:p>
    <w:p>
      <w:pPr>
        <w:pStyle w:val="ListBullet"/>
      </w:pPr>
      <w:r>
        <w:t>Actualités et agenda ;</w:t>
      </w:r>
    </w:p>
    <w:p>
      <w:pPr>
        <w:pStyle w:val="ListBullet"/>
      </w:pPr>
      <w:r>
        <w:t>Contact et démarches.</w:t>
      </w:r>
    </w:p>
    <w:p>
      <w:r>
        <w:rPr>
          <w:color w:val="1F4E79"/>
        </w:rPr>
        <w:t>[À compléter : rubriques propres à votre commune]</w:t>
      </w:r>
    </w:p>
    <w:p>
      <w:r>
        <w:rPr>
          <w:color w:val="1F4E79"/>
        </w:rPr>
        <w:t>[À compléter : volume approximatif des contenus à conserver : pages, actualités, documents PDF]</w:t>
      </w:r>
    </w:p>
    <w:p>
      <w:pPr>
        <w:pStyle w:val="Heading1"/>
      </w:pPr>
      <w:r>
        <w:t>5. Fonctions attendues</w:t>
      </w:r>
    </w:p>
    <w:p>
      <w:r>
        <w:rPr>
          <w:i/>
          <w:color w:val="555B66"/>
        </w:rPr>
        <w:t>Classez chaque fonction. « Indispensable » élimine une offre qui ne la propose pas. « Souhaité » donne des points. « Non » évite de payer une option inutile.</w:t>
      </w:r>
    </w:p>
    <w:tbl>
      <w:tblPr>
        <w:tblStyle w:val="TableGrid"/>
        <w:tblW w:type="auto" w:w="0"/>
        <w:jc w:val="center"/>
        <w:tblLayout w:type="fixed"/>
        <w:tblLook w:firstColumn="1" w:firstRow="1" w:lastColumn="0" w:lastRow="0" w:noHBand="0" w:noVBand="1" w:val="04A0"/>
      </w:tblPr>
      <w:tblGrid>
        <w:gridCol w:w="3515"/>
        <w:gridCol w:w="1361"/>
        <w:gridCol w:w="1134"/>
        <w:gridCol w:w="794"/>
        <w:gridCol w:w="2268"/>
      </w:tblGrid>
      <w:tr>
        <w:tc>
          <w:tcPr>
            <w:tcW w:type="dxa" w:w="3515"/>
            <w:shd w:val="clear" w:color="auto" w:fill="DCE6F0"/>
          </w:tcPr>
          <w:p>
            <w:r/>
            <w:r>
              <w:rPr>
                <w:b/>
              </w:rPr>
              <w:t>Fonction</w:t>
            </w:r>
          </w:p>
        </w:tc>
        <w:tc>
          <w:tcPr>
            <w:tcW w:type="dxa" w:w="1361"/>
            <w:shd w:val="clear" w:color="auto" w:fill="DCE6F0"/>
          </w:tcPr>
          <w:p>
            <w:r/>
            <w:r>
              <w:rPr>
                <w:b/>
              </w:rPr>
              <w:t>Indispensable</w:t>
            </w:r>
          </w:p>
        </w:tc>
        <w:tc>
          <w:tcPr>
            <w:tcW w:type="dxa" w:w="1134"/>
            <w:shd w:val="clear" w:color="auto" w:fill="DCE6F0"/>
          </w:tcPr>
          <w:p>
            <w:r/>
            <w:r>
              <w:rPr>
                <w:b/>
              </w:rPr>
              <w:t>Souhaité</w:t>
            </w:r>
          </w:p>
        </w:tc>
        <w:tc>
          <w:tcPr>
            <w:tcW w:type="dxa" w:w="794"/>
            <w:shd w:val="clear" w:color="auto" w:fill="DCE6F0"/>
          </w:tcPr>
          <w:p>
            <w:r/>
            <w:r>
              <w:rPr>
                <w:b/>
              </w:rPr>
              <w:t>Non</w:t>
            </w:r>
          </w:p>
        </w:tc>
        <w:tc>
          <w:tcPr>
            <w:tcW w:type="dxa" w:w="2268"/>
            <w:shd w:val="clear" w:color="auto" w:fill="DCE6F0"/>
          </w:tcPr>
          <w:p>
            <w:r/>
            <w:r>
              <w:rPr>
                <w:b/>
              </w:rPr>
              <w:t>Précisions</w:t>
            </w:r>
          </w:p>
        </w:tc>
      </w:tr>
      <w:tr>
        <w:tc>
          <w:tcPr>
            <w:tcW w:type="dxa" w:w="3515"/>
          </w:tcPr>
          <w:p>
            <w:r>
              <w:t>Actualités et agenda</w:t>
            </w:r>
          </w:p>
        </w:tc>
        <w:tc>
          <w:tcPr>
            <w:tcW w:type="dxa" w:w="1361"/>
          </w:tcPr>
          <w:p>
            <w:r/>
          </w:p>
        </w:tc>
        <w:tc>
          <w:tcPr>
            <w:tcW w:type="dxa" w:w="1134"/>
          </w:tcPr>
          <w:p>
            <w:r/>
          </w:p>
        </w:tc>
        <w:tc>
          <w:tcPr>
            <w:tcW w:type="dxa" w:w="794"/>
          </w:tcPr>
          <w:p>
            <w:r/>
          </w:p>
        </w:tc>
        <w:tc>
          <w:tcPr>
            <w:tcW w:type="dxa" w:w="2268"/>
          </w:tcPr>
          <w:p>
            <w:r/>
          </w:p>
        </w:tc>
      </w:tr>
      <w:tr>
        <w:tc>
          <w:tcPr>
            <w:tcW w:type="dxa" w:w="3515"/>
          </w:tcPr>
          <w:p>
            <w:r>
              <w:t>Publication des actes (délibérations, arrêtés)</w:t>
            </w:r>
          </w:p>
        </w:tc>
        <w:tc>
          <w:tcPr>
            <w:tcW w:type="dxa" w:w="1361"/>
          </w:tcPr>
          <w:p>
            <w:r/>
          </w:p>
        </w:tc>
        <w:tc>
          <w:tcPr>
            <w:tcW w:type="dxa" w:w="1134"/>
          </w:tcPr>
          <w:p>
            <w:r/>
          </w:p>
        </w:tc>
        <w:tc>
          <w:tcPr>
            <w:tcW w:type="dxa" w:w="794"/>
          </w:tcPr>
          <w:p>
            <w:r/>
          </w:p>
        </w:tc>
        <w:tc>
          <w:tcPr>
            <w:tcW w:type="dxa" w:w="2268"/>
          </w:tcPr>
          <w:p>
            <w:r/>
          </w:p>
        </w:tc>
      </w:tr>
      <w:tr>
        <w:tc>
          <w:tcPr>
            <w:tcW w:type="dxa" w:w="3515"/>
          </w:tcPr>
          <w:p>
            <w:r>
              <w:t>Annuaire des services et des associations</w:t>
            </w:r>
          </w:p>
        </w:tc>
        <w:tc>
          <w:tcPr>
            <w:tcW w:type="dxa" w:w="1361"/>
          </w:tcPr>
          <w:p>
            <w:r/>
          </w:p>
        </w:tc>
        <w:tc>
          <w:tcPr>
            <w:tcW w:type="dxa" w:w="1134"/>
          </w:tcPr>
          <w:p>
            <w:r/>
          </w:p>
        </w:tc>
        <w:tc>
          <w:tcPr>
            <w:tcW w:type="dxa" w:w="794"/>
          </w:tcPr>
          <w:p>
            <w:r/>
          </w:p>
        </w:tc>
        <w:tc>
          <w:tcPr>
            <w:tcW w:type="dxa" w:w="2268"/>
          </w:tcPr>
          <w:p>
            <w:r/>
          </w:p>
        </w:tc>
      </w:tr>
      <w:tr>
        <w:tc>
          <w:tcPr>
            <w:tcW w:type="dxa" w:w="3515"/>
          </w:tcPr>
          <w:p>
            <w:r>
              <w:t>Formulaire de contact</w:t>
            </w:r>
          </w:p>
        </w:tc>
        <w:tc>
          <w:tcPr>
            <w:tcW w:type="dxa" w:w="1361"/>
          </w:tcPr>
          <w:p>
            <w:r/>
          </w:p>
        </w:tc>
        <w:tc>
          <w:tcPr>
            <w:tcW w:type="dxa" w:w="1134"/>
          </w:tcPr>
          <w:p>
            <w:r/>
          </w:p>
        </w:tc>
        <w:tc>
          <w:tcPr>
            <w:tcW w:type="dxa" w:w="794"/>
          </w:tcPr>
          <w:p>
            <w:r/>
          </w:p>
        </w:tc>
        <w:tc>
          <w:tcPr>
            <w:tcW w:type="dxa" w:w="2268"/>
          </w:tcPr>
          <w:p>
            <w:r/>
          </w:p>
        </w:tc>
      </w:tr>
      <w:tr>
        <w:tc>
          <w:tcPr>
            <w:tcW w:type="dxa" w:w="3515"/>
          </w:tcPr>
          <w:p>
            <w:r>
              <w:t>Signalements des habitants avec suivi</w:t>
            </w:r>
          </w:p>
        </w:tc>
        <w:tc>
          <w:tcPr>
            <w:tcW w:type="dxa" w:w="1361"/>
          </w:tcPr>
          <w:p>
            <w:r/>
          </w:p>
        </w:tc>
        <w:tc>
          <w:tcPr>
            <w:tcW w:type="dxa" w:w="1134"/>
          </w:tcPr>
          <w:p>
            <w:r/>
          </w:p>
        </w:tc>
        <w:tc>
          <w:tcPr>
            <w:tcW w:type="dxa" w:w="794"/>
          </w:tcPr>
          <w:p>
            <w:r/>
          </w:p>
        </w:tc>
        <w:tc>
          <w:tcPr>
            <w:tcW w:type="dxa" w:w="2268"/>
          </w:tcPr>
          <w:p>
            <w:r/>
          </w:p>
        </w:tc>
      </w:tr>
      <w:tr>
        <w:tc>
          <w:tcPr>
            <w:tcW w:type="dxa" w:w="3515"/>
          </w:tcPr>
          <w:p>
            <w:r>
              <w:t>Alertes par courriel, SMS ou notification</w:t>
            </w:r>
          </w:p>
        </w:tc>
        <w:tc>
          <w:tcPr>
            <w:tcW w:type="dxa" w:w="1361"/>
          </w:tcPr>
          <w:p>
            <w:r/>
          </w:p>
        </w:tc>
        <w:tc>
          <w:tcPr>
            <w:tcW w:type="dxa" w:w="1134"/>
          </w:tcPr>
          <w:p>
            <w:r/>
          </w:p>
        </w:tc>
        <w:tc>
          <w:tcPr>
            <w:tcW w:type="dxa" w:w="794"/>
          </w:tcPr>
          <w:p>
            <w:r/>
          </w:p>
        </w:tc>
        <w:tc>
          <w:tcPr>
            <w:tcW w:type="dxa" w:w="2268"/>
          </w:tcPr>
          <w:p>
            <w:r/>
          </w:p>
        </w:tc>
      </w:tr>
      <w:tr>
        <w:tc>
          <w:tcPr>
            <w:tcW w:type="dxa" w:w="3515"/>
          </w:tcPr>
          <w:p>
            <w:r>
              <w:t>Prise de rendez-vous en ligne</w:t>
            </w:r>
          </w:p>
        </w:tc>
        <w:tc>
          <w:tcPr>
            <w:tcW w:type="dxa" w:w="1361"/>
          </w:tcPr>
          <w:p>
            <w:r/>
          </w:p>
        </w:tc>
        <w:tc>
          <w:tcPr>
            <w:tcW w:type="dxa" w:w="1134"/>
          </w:tcPr>
          <w:p>
            <w:r/>
          </w:p>
        </w:tc>
        <w:tc>
          <w:tcPr>
            <w:tcW w:type="dxa" w:w="794"/>
          </w:tcPr>
          <w:p>
            <w:r/>
          </w:p>
        </w:tc>
        <w:tc>
          <w:tcPr>
            <w:tcW w:type="dxa" w:w="2268"/>
          </w:tcPr>
          <w:p>
            <w:r/>
          </w:p>
        </w:tc>
      </w:tr>
      <w:tr>
        <w:tc>
          <w:tcPr>
            <w:tcW w:type="dxa" w:w="3515"/>
          </w:tcPr>
          <w:p>
            <w:r>
              <w:t>Réservation de salles communales</w:t>
            </w:r>
          </w:p>
        </w:tc>
        <w:tc>
          <w:tcPr>
            <w:tcW w:type="dxa" w:w="1361"/>
          </w:tcPr>
          <w:p>
            <w:r/>
          </w:p>
        </w:tc>
        <w:tc>
          <w:tcPr>
            <w:tcW w:type="dxa" w:w="1134"/>
          </w:tcPr>
          <w:p>
            <w:r/>
          </w:p>
        </w:tc>
        <w:tc>
          <w:tcPr>
            <w:tcW w:type="dxa" w:w="794"/>
          </w:tcPr>
          <w:p>
            <w:r/>
          </w:p>
        </w:tc>
        <w:tc>
          <w:tcPr>
            <w:tcW w:type="dxa" w:w="2268"/>
          </w:tcPr>
          <w:p>
            <w:r/>
          </w:p>
        </w:tc>
      </w:tr>
      <w:tr>
        <w:tc>
          <w:tcPr>
            <w:tcW w:type="dxa" w:w="3515"/>
          </w:tcPr>
          <w:p>
            <w:r>
              <w:t>Menus de la cantine</w:t>
            </w:r>
          </w:p>
        </w:tc>
        <w:tc>
          <w:tcPr>
            <w:tcW w:type="dxa" w:w="1361"/>
          </w:tcPr>
          <w:p>
            <w:r/>
          </w:p>
        </w:tc>
        <w:tc>
          <w:tcPr>
            <w:tcW w:type="dxa" w:w="1134"/>
          </w:tcPr>
          <w:p>
            <w:r/>
          </w:p>
        </w:tc>
        <w:tc>
          <w:tcPr>
            <w:tcW w:type="dxa" w:w="794"/>
          </w:tcPr>
          <w:p>
            <w:r/>
          </w:p>
        </w:tc>
        <w:tc>
          <w:tcPr>
            <w:tcW w:type="dxa" w:w="2268"/>
          </w:tcPr>
          <w:p>
            <w:r/>
          </w:p>
        </w:tc>
      </w:tr>
      <w:tr>
        <w:tc>
          <w:tcPr>
            <w:tcW w:type="dxa" w:w="3515"/>
          </w:tcPr>
          <w:p>
            <w:r>
              <w:t>Bulletin municipal en ligne</w:t>
            </w:r>
          </w:p>
        </w:tc>
        <w:tc>
          <w:tcPr>
            <w:tcW w:type="dxa" w:w="1361"/>
          </w:tcPr>
          <w:p>
            <w:r/>
          </w:p>
        </w:tc>
        <w:tc>
          <w:tcPr>
            <w:tcW w:type="dxa" w:w="1134"/>
          </w:tcPr>
          <w:p>
            <w:r/>
          </w:p>
        </w:tc>
        <w:tc>
          <w:tcPr>
            <w:tcW w:type="dxa" w:w="794"/>
          </w:tcPr>
          <w:p>
            <w:r/>
          </w:p>
        </w:tc>
        <w:tc>
          <w:tcPr>
            <w:tcW w:type="dxa" w:w="2268"/>
          </w:tcPr>
          <w:p>
            <w:r/>
          </w:p>
        </w:tc>
      </w:tr>
      <w:tr>
        <w:tc>
          <w:tcPr>
            <w:tcW w:type="dxa" w:w="3515"/>
          </w:tcPr>
          <w:p>
            <w:r>
              <w:t>Carte interactive</w:t>
            </w:r>
          </w:p>
        </w:tc>
        <w:tc>
          <w:tcPr>
            <w:tcW w:type="dxa" w:w="1361"/>
          </w:tcPr>
          <w:p>
            <w:r/>
          </w:p>
        </w:tc>
        <w:tc>
          <w:tcPr>
            <w:tcW w:type="dxa" w:w="1134"/>
          </w:tcPr>
          <w:p>
            <w:r/>
          </w:p>
        </w:tc>
        <w:tc>
          <w:tcPr>
            <w:tcW w:type="dxa" w:w="794"/>
          </w:tcPr>
          <w:p>
            <w:r/>
          </w:p>
        </w:tc>
        <w:tc>
          <w:tcPr>
            <w:tcW w:type="dxa" w:w="2268"/>
          </w:tcPr>
          <w:p>
            <w:r/>
          </w:p>
        </w:tc>
      </w:tr>
      <w:tr>
        <w:tc>
          <w:tcPr>
            <w:tcW w:type="dxa" w:w="3515"/>
          </w:tcPr>
          <w:p>
            <w:r>
              <w:t>Fiches démarches de service-public.fr</w:t>
            </w:r>
          </w:p>
        </w:tc>
        <w:tc>
          <w:tcPr>
            <w:tcW w:type="dxa" w:w="1361"/>
          </w:tcPr>
          <w:p>
            <w:r/>
          </w:p>
        </w:tc>
        <w:tc>
          <w:tcPr>
            <w:tcW w:type="dxa" w:w="1134"/>
          </w:tcPr>
          <w:p>
            <w:r/>
          </w:p>
        </w:tc>
        <w:tc>
          <w:tcPr>
            <w:tcW w:type="dxa" w:w="794"/>
          </w:tcPr>
          <w:p>
            <w:r/>
          </w:p>
        </w:tc>
        <w:tc>
          <w:tcPr>
            <w:tcW w:type="dxa" w:w="2268"/>
          </w:tcPr>
          <w:p>
            <w:r/>
          </w:p>
        </w:tc>
      </w:tr>
      <w:tr>
        <w:tc>
          <w:tcPr>
            <w:tcW w:type="dxa" w:w="3515"/>
          </w:tcPr>
          <w:p>
            <w:r>
              <w:t>Statistiques de visite respectueuses du RGPD</w:t>
            </w:r>
          </w:p>
        </w:tc>
        <w:tc>
          <w:tcPr>
            <w:tcW w:type="dxa" w:w="1361"/>
          </w:tcPr>
          <w:p>
            <w:r/>
          </w:p>
        </w:tc>
        <w:tc>
          <w:tcPr>
            <w:tcW w:type="dxa" w:w="1134"/>
          </w:tcPr>
          <w:p>
            <w:r/>
          </w:p>
        </w:tc>
        <w:tc>
          <w:tcPr>
            <w:tcW w:type="dxa" w:w="794"/>
          </w:tcPr>
          <w:p>
            <w:r/>
          </w:p>
        </w:tc>
        <w:tc>
          <w:tcPr>
            <w:tcW w:type="dxa" w:w="2268"/>
          </w:tcPr>
          <w:p>
            <w:r/>
          </w:p>
        </w:tc>
      </w:tr>
      <w:tr>
        <w:tc>
          <w:tcPr>
            <w:tcW w:type="dxa" w:w="3515"/>
          </w:tcPr>
          <w:p>
            <w:r>
              <w:t>Installation sur l’écran d’accueil du téléphone</w:t>
            </w:r>
          </w:p>
        </w:tc>
        <w:tc>
          <w:tcPr>
            <w:tcW w:type="dxa" w:w="1361"/>
          </w:tcPr>
          <w:p>
            <w:r/>
          </w:p>
        </w:tc>
        <w:tc>
          <w:tcPr>
            <w:tcW w:type="dxa" w:w="1134"/>
          </w:tcPr>
          <w:p>
            <w:r/>
          </w:p>
        </w:tc>
        <w:tc>
          <w:tcPr>
            <w:tcW w:type="dxa" w:w="794"/>
          </w:tcPr>
          <w:p>
            <w:r/>
          </w:p>
        </w:tc>
        <w:tc>
          <w:tcPr>
            <w:tcW w:type="dxa" w:w="2268"/>
          </w:tcPr>
          <w:p>
            <w:r/>
          </w:p>
        </w:tc>
      </w:tr>
    </w:tbl>
    <w:p/>
    <w:p>
      <w:pPr>
        <w:pStyle w:val="Heading1"/>
      </w:pPr>
      <w:r>
        <w:t>6. Obligations légales</w:t>
      </w:r>
    </w:p>
    <w:p>
      <w:r>
        <w:rPr>
          <w:i/>
          <w:color w:val="555B66"/>
        </w:rPr>
        <w:t>Le prestataire doit livrer un site qui permet à la commune de respecter ses obligations. Gardez cette liste.</w:t>
      </w:r>
    </w:p>
    <w:p>
      <w:r>
        <w:t>Le site doit permettre à la commune :</w:t>
      </w:r>
    </w:p>
    <w:p>
      <w:pPr>
        <w:pStyle w:val="ListBullet"/>
      </w:pPr>
      <w:r>
        <w:t>de publier des mentions légales complètes et à jour ;</w:t>
      </w:r>
    </w:p>
    <w:p>
      <w:pPr>
        <w:pStyle w:val="ListBullet"/>
      </w:pPr>
      <w:r>
        <w:t>de publier ses actes sous forme électronique (article L. 2131-1 du code général des collectivités territoriales), sauf si le conseil municipal a choisi par délibération l’affichage ou le papier ;</w:t>
      </w:r>
    </w:p>
    <w:p>
      <w:pPr>
        <w:pStyle w:val="ListBullet"/>
      </w:pPr>
      <w:r>
        <w:t>dès 1 000 habitants, de réserver un espace d’expression aux élus qui n’appartiennent pas à la majorité (article L. 2121-27-1 du même code) ;</w:t>
      </w:r>
    </w:p>
    <w:p>
      <w:pPr>
        <w:pStyle w:val="ListBullet"/>
      </w:pPr>
      <w:r>
        <w:t>de publier sa déclaration d’accessibilité, son schéma pluriannuel et le plan d’actions de l’année, avec une mention de conformité en page d’accueil et un moyen de signaler un défaut d’accessibilité ;</w:t>
      </w:r>
    </w:p>
    <w:p>
      <w:pPr>
        <w:pStyle w:val="ListBullet"/>
      </w:pPr>
      <w:r>
        <w:t>de publier une politique de confidentialité et de recueillir le consentement aux cookies quand il est requis ;</w:t>
      </w:r>
    </w:p>
    <w:p>
      <w:pPr>
        <w:pStyle w:val="ListBullet"/>
      </w:pPr>
      <w:r>
        <w:t>de recevoir les demandes des habitants par voie électronique.</w:t>
      </w:r>
    </w:p>
    <w:p>
      <w:pPr>
        <w:pStyle w:val="Heading1"/>
      </w:pPr>
      <w:r>
        <w:t>7. Accessibilité numérique</w:t>
      </w:r>
    </w:p>
    <w:p>
      <w:r>
        <w:rPr>
          <w:i/>
          <w:color w:val="555B66"/>
        </w:rPr>
        <w:t>Une commune doit rendre son site accessible aux personnes handicapées. Le référentiel en vigueur est le RGAA 4.1.2. Le RGAA 5 est attendu fin 2026.</w:t>
      </w:r>
    </w:p>
    <w:p>
      <w:r>
        <w:t>Le prestataire s’engage à :</w:t>
      </w:r>
    </w:p>
    <w:p>
      <w:pPr>
        <w:pStyle w:val="ListBullet"/>
      </w:pPr>
      <w:r>
        <w:t>livrer un site conforme au RGAA 4.1.2, soit 100 % des critères applicables respectés ;</w:t>
      </w:r>
    </w:p>
    <w:p>
      <w:pPr>
        <w:pStyle w:val="ListBullet"/>
      </w:pPr>
      <w:r>
        <w:t>indiquer le taux de conformité mesuré et la date de la mesure ;</w:t>
      </w:r>
    </w:p>
    <w:p>
      <w:pPr>
        <w:pStyle w:val="ListBullet"/>
      </w:pPr>
      <w:r>
        <w:t>préciser si un audit indépendant a été réalisé, et par qui ;</w:t>
      </w:r>
    </w:p>
    <w:p>
      <w:pPr>
        <w:pStyle w:val="ListBullet"/>
      </w:pPr>
      <w:r>
        <w:t>fournir les éléments nécessaires à la déclaration d’accessibilité ;</w:t>
      </w:r>
    </w:p>
    <w:p>
      <w:pPr>
        <w:pStyle w:val="ListBullet"/>
      </w:pPr>
      <w:r>
        <w:t>maintenir ce niveau quand les agents publient de nouveaux contenus.</w:t>
      </w:r>
    </w:p>
    <w:p>
      <w:pPr>
        <w:pStyle w:val="Heading1"/>
      </w:pPr>
      <w:r>
        <w:t>8. Hébergement, sécurité et données personnelles</w:t>
      </w:r>
    </w:p>
    <w:p>
      <w:r>
        <w:rPr>
          <w:i/>
          <w:color w:val="555B66"/>
        </w:rPr>
        <w:t>Ces exigences protègent les données des habitants. Elles se vérifient dans le contrat, pas dans la plaquette.</w:t>
      </w:r>
    </w:p>
    <w:p>
      <w:pPr>
        <w:pStyle w:val="ListBullet"/>
      </w:pPr>
      <w:r>
        <w:t>Hébergement des données dans l’Union européenne, avec le nom de l’hébergeur ;</w:t>
      </w:r>
    </w:p>
    <w:p>
      <w:pPr>
        <w:pStyle w:val="ListBullet"/>
      </w:pPr>
      <w:r>
        <w:t>Contrat de sous-traitance conforme à l’article 28 du RGPD, et liste des sous-traitants ;</w:t>
      </w:r>
    </w:p>
    <w:p>
      <w:pPr>
        <w:pStyle w:val="ListBullet"/>
      </w:pPr>
      <w:r>
        <w:t>Sauvegardes quotidiennes, avec leur durée de conservation et le délai de restauration ;</w:t>
      </w:r>
    </w:p>
    <w:p>
      <w:pPr>
        <w:pStyle w:val="ListBullet"/>
      </w:pPr>
      <w:r>
        <w:t>Mises à jour de sécurité incluses dans le prix ;</w:t>
      </w:r>
    </w:p>
    <w:p>
      <w:pPr>
        <w:pStyle w:val="ListBullet"/>
      </w:pPr>
      <w:r>
        <w:t>Connexion sécurisée (HTTPS) et double authentification pour les comptes des agents ;</w:t>
      </w:r>
    </w:p>
    <w:p>
      <w:pPr>
        <w:pStyle w:val="ListBullet"/>
      </w:pPr>
      <w:r>
        <w:t>Procédure en cas de violation de données, avec le délai d’alerte de la commune.</w:t>
      </w:r>
    </w:p>
    <w:p>
      <w:pPr>
        <w:pStyle w:val="Heading1"/>
      </w:pPr>
      <w:r>
        <w:t>9. Identité visuelle</w:t>
      </w:r>
    </w:p>
    <w:p>
      <w:r>
        <w:rPr>
          <w:i/>
          <w:color w:val="555B66"/>
        </w:rPr>
        <w:t>Joignez le logo et la charte graphique s’ils existent. Attention : le système de design de l’État (DSFR) et la police Marianne sont réservés aux services de l’État. Une commune ne peut pas les utiliser.</w:t>
      </w:r>
    </w:p>
    <w:p>
      <w:r>
        <w:rPr>
          <w:color w:val="1F4E79"/>
        </w:rPr>
        <w:t>[À compléter : logo, couleurs, photos disponibles et leurs droits d’utilisation]</w:t>
      </w:r>
    </w:p>
    <w:p>
      <w:r>
        <w:rPr>
          <w:color w:val="1F4E79"/>
        </w:rPr>
        <w:t>[À compléter : sites de communes que vous aimez, et pourquoi]</w:t>
      </w:r>
    </w:p>
    <w:p>
      <w:pPr>
        <w:pStyle w:val="Heading1"/>
      </w:pPr>
      <w:r>
        <w:t>10. Reprise des contenus, formation et assistance</w:t>
      </w:r>
    </w:p>
    <w:p>
      <w:pPr>
        <w:pStyle w:val="ListBullet"/>
      </w:pPr>
      <w:r>
        <w:t>Contenus à reprendre du site actuel : [tout, une sélection, rien] ;</w:t>
      </w:r>
    </w:p>
    <w:p>
      <w:pPr>
        <w:pStyle w:val="ListBullet"/>
      </w:pPr>
      <w:r>
        <w:t>Qui fait la reprise, et dans quel délai : [prestataire ou commune] ;</w:t>
      </w:r>
    </w:p>
    <w:p>
      <w:pPr>
        <w:pStyle w:val="ListBullet"/>
      </w:pPr>
      <w:r>
        <w:t>Formation des agents : nombre de personnes, durée, à distance ou sur place ;</w:t>
      </w:r>
    </w:p>
    <w:p>
      <w:pPr>
        <w:pStyle w:val="ListBullet"/>
      </w:pPr>
      <w:r>
        <w:t>Assistance après la mise en ligne : canal, horaires, délai de réponse ;</w:t>
      </w:r>
    </w:p>
    <w:p>
      <w:pPr>
        <w:pStyle w:val="ListBullet"/>
      </w:pPr>
      <w:r>
        <w:t>Guide d’utilisation remis aux agents.</w:t>
      </w:r>
    </w:p>
    <w:p>
      <w:pPr>
        <w:pStyle w:val="Heading1"/>
      </w:pPr>
      <w:r>
        <w:t>11. Réversibilité et propriété</w:t>
      </w:r>
    </w:p>
    <w:p>
      <w:r>
        <w:rPr>
          <w:i/>
          <w:color w:val="555B66"/>
        </w:rPr>
        <w:t>Cette rubrique évite de rester bloqué chez un prestataire. Ne la supprimez pas.</w:t>
      </w:r>
    </w:p>
    <w:p>
      <w:pPr>
        <w:pStyle w:val="ListBullet"/>
      </w:pPr>
      <w:r>
        <w:t>Le nom de domaine est déposé au nom de la commune ;</w:t>
      </w:r>
    </w:p>
    <w:p>
      <w:pPr>
        <w:pStyle w:val="ListBullet"/>
      </w:pPr>
      <w:r>
        <w:t>La commune reste propriétaire de ses contenus, photos et documents ;</w:t>
      </w:r>
    </w:p>
    <w:p>
      <w:pPr>
        <w:pStyle w:val="ListBullet"/>
      </w:pPr>
      <w:r>
        <w:t>Le prestataire fournit un export complet des contenus dans un format ouvert, sans frais, à la fin du contrat ;</w:t>
      </w:r>
    </w:p>
    <w:p>
      <w:pPr>
        <w:pStyle w:val="ListBullet"/>
      </w:pPr>
      <w:r>
        <w:t>Le prestataire indique le délai de cet export et le format des fichiers ;</w:t>
      </w:r>
    </w:p>
    <w:p>
      <w:pPr>
        <w:pStyle w:val="ListBullet"/>
      </w:pPr>
      <w:r>
        <w:t>La durée du contrat, son renouvellement et les conditions de résiliation sont écrits.</w:t>
      </w:r>
    </w:p>
    <w:p>
      <w:pPr>
        <w:pStyle w:val="Heading1"/>
      </w:pPr>
      <w:r>
        <w:t>12. Budget, calendrier et choix du prestataire</w:t>
      </w:r>
    </w:p>
    <w:p>
      <w:r>
        <w:rPr>
          <w:color w:val="1F4E79"/>
        </w:rPr>
        <w:t>[À compléter : budget indicatif, en investissement ou en fonctionnement]</w:t>
      </w:r>
    </w:p>
    <w:p>
      <w:r>
        <w:rPr>
          <w:color w:val="1F4E79"/>
        </w:rPr>
        <w:t>[À compléter : date souhaitée de mise en ligne]</w:t>
      </w:r>
    </w:p>
    <w:p>
      <w:r>
        <w:t>Le prestataire présente son prix sur trois ans :</w:t>
      </w:r>
    </w:p>
    <w:p>
      <w:pPr>
        <w:pStyle w:val="ListBullet"/>
      </w:pPr>
      <w:r>
        <w:t>coût de création ou de mise en service ;</w:t>
      </w:r>
    </w:p>
    <w:p>
      <w:pPr>
        <w:pStyle w:val="ListBullet"/>
      </w:pPr>
      <w:r>
        <w:t>coût annuel (hébergement, maintenance, assistance, mises à jour) ;</w:t>
      </w:r>
    </w:p>
    <w:p>
      <w:pPr>
        <w:pStyle w:val="ListBullet"/>
      </w:pPr>
      <w:r>
        <w:t>options et prix de chaque option ;</w:t>
      </w:r>
    </w:p>
    <w:p>
      <w:pPr>
        <w:pStyle w:val="ListBullet"/>
      </w:pPr>
      <w:r>
        <w:t>conditions de révision du prix.</w:t>
      </w:r>
    </w:p>
    <w:p>
      <w:r>
        <w:rPr>
          <w:i/>
          <w:color w:val="555B66"/>
        </w:rPr>
        <w:t>La facture doit être déposée sur Chorus Pro. La commune paie par mandat administratif, dans un délai de 30 jours à réception de la facture.</w:t>
      </w:r>
    </w:p>
    <w:p>
      <w:r>
        <w:t>Les offres sont comparées sur les critères suivants :</w:t>
      </w:r>
    </w:p>
    <w:tbl>
      <w:tblPr>
        <w:tblStyle w:val="TableGrid"/>
        <w:tblW w:type="auto" w:w="0"/>
        <w:jc w:val="center"/>
        <w:tblLayout w:type="fixed"/>
        <w:tblLook w:firstColumn="1" w:firstRow="1" w:lastColumn="0" w:lastRow="0" w:noHBand="0" w:noVBand="1" w:val="04A0"/>
      </w:tblPr>
      <w:tblGrid>
        <w:gridCol w:w="6803"/>
        <w:gridCol w:w="2268"/>
      </w:tblGrid>
      <w:tr>
        <w:tc>
          <w:tcPr>
            <w:tcW w:type="dxa" w:w="6803"/>
            <w:shd w:val="clear" w:color="auto" w:fill="DCE6F0"/>
          </w:tcPr>
          <w:p>
            <w:r/>
            <w:r>
              <w:rPr>
                <w:b/>
              </w:rPr>
              <w:t>Critère</w:t>
            </w:r>
          </w:p>
        </w:tc>
        <w:tc>
          <w:tcPr>
            <w:tcW w:type="dxa" w:w="2268"/>
            <w:shd w:val="clear" w:color="auto" w:fill="DCE6F0"/>
          </w:tcPr>
          <w:p>
            <w:r/>
            <w:r>
              <w:rPr>
                <w:b/>
              </w:rPr>
              <w:t>Poids</w:t>
            </w:r>
          </w:p>
        </w:tc>
      </w:tr>
      <w:tr>
        <w:tc>
          <w:tcPr>
            <w:tcW w:type="dxa" w:w="6803"/>
          </w:tcPr>
          <w:p>
            <w:r>
              <w:t>Réponse aux fonctions attendues (rubrique 5)</w:t>
            </w:r>
          </w:p>
        </w:tc>
        <w:tc>
          <w:tcPr>
            <w:tcW w:type="dxa" w:w="2268"/>
          </w:tcPr>
          <w:p>
            <w:r>
              <w:t>[30 %]</w:t>
            </w:r>
          </w:p>
        </w:tc>
      </w:tr>
      <w:tr>
        <w:tc>
          <w:tcPr>
            <w:tcW w:type="dxa" w:w="6803"/>
          </w:tcPr>
          <w:p>
            <w:r>
              <w:t>Coût total sur trois ans</w:t>
            </w:r>
          </w:p>
        </w:tc>
        <w:tc>
          <w:tcPr>
            <w:tcW w:type="dxa" w:w="2268"/>
          </w:tcPr>
          <w:p>
            <w:r>
              <w:t>[30 %]</w:t>
            </w:r>
          </w:p>
        </w:tc>
      </w:tr>
      <w:tr>
        <w:tc>
          <w:tcPr>
            <w:tcW w:type="dxa" w:w="6803"/>
          </w:tcPr>
          <w:p>
            <w:r>
              <w:t>Accessibilité, sécurité et réversibilité</w:t>
            </w:r>
          </w:p>
        </w:tc>
        <w:tc>
          <w:tcPr>
            <w:tcW w:type="dxa" w:w="2268"/>
          </w:tcPr>
          <w:p>
            <w:r>
              <w:t>[20 %]</w:t>
            </w:r>
          </w:p>
        </w:tc>
      </w:tr>
      <w:tr>
        <w:tc>
          <w:tcPr>
            <w:tcW w:type="dxa" w:w="6803"/>
          </w:tcPr>
          <w:p>
            <w:r>
              <w:t>Facilité d’utilisation pour les agents (démonstration)</w:t>
            </w:r>
          </w:p>
        </w:tc>
        <w:tc>
          <w:tcPr>
            <w:tcW w:type="dxa" w:w="2268"/>
          </w:tcPr>
          <w:p>
            <w:r>
              <w:t>[10 %]</w:t>
            </w:r>
          </w:p>
        </w:tc>
      </w:tr>
      <w:tr>
        <w:tc>
          <w:tcPr>
            <w:tcW w:type="dxa" w:w="6803"/>
          </w:tcPr>
          <w:p>
            <w:r>
              <w:t>Formation et assistance</w:t>
            </w:r>
          </w:p>
        </w:tc>
        <w:tc>
          <w:tcPr>
            <w:tcW w:type="dxa" w:w="2268"/>
          </w:tcPr>
          <w:p>
            <w:r>
              <w:t>[10 %]</w:t>
            </w:r>
          </w:p>
        </w:tc>
      </w:tr>
    </w:tbl>
    <w:p/>
    <w:p>
      <w:pPr>
        <w:pStyle w:val="Heading1"/>
      </w:pPr>
      <w:r>
        <w:t>Annexe : pièces demandées aux candidats</w:t>
      </w:r>
    </w:p>
    <w:p>
      <w:pPr>
        <w:pStyle w:val="ListBullet"/>
      </w:pPr>
      <w:r>
        <w:t>Une proposition qui reprend les rubriques de ce cahier des charges, dans le même ordre ;</w:t>
      </w:r>
    </w:p>
    <w:p>
      <w:pPr>
        <w:pStyle w:val="ListBullet"/>
      </w:pPr>
      <w:r>
        <w:t>Le tableau des fonctions (rubrique 5) rempli par le candidat ;</w:t>
      </w:r>
    </w:p>
    <w:p>
      <w:pPr>
        <w:pStyle w:val="ListBullet"/>
      </w:pPr>
      <w:r>
        <w:t>Le détail du prix sur trois ans ;</w:t>
      </w:r>
    </w:p>
    <w:p>
      <w:pPr>
        <w:pStyle w:val="ListBullet"/>
      </w:pPr>
      <w:r>
        <w:t>Deux ou trois exemples de sites de communes réalisés, avec leur adresse ;</w:t>
      </w:r>
    </w:p>
    <w:p>
      <w:pPr>
        <w:pStyle w:val="ListBullet"/>
      </w:pPr>
      <w:r>
        <w:t>Un accès de démonstration à l’espace d’administration ;</w:t>
      </w:r>
    </w:p>
    <w:p>
      <w:pPr>
        <w:pStyle w:val="ListBullet"/>
      </w:pPr>
      <w:r>
        <w:t>Le modèle de contrat et le contrat de sous-traitance RGPD.</w:t>
      </w:r>
    </w:p>
    <w:sectPr w:rsidR="00FC693F" w:rsidRPr="0006063C" w:rsidSect="00034616">
      <w:footerReference w:type="default" r:id="rId9"/>
      <w:pgSz w:w="12240" w:h="15840"/>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B66"/>
        <w:sz w:val="16"/>
      </w:rPr>
      <w:t>Modèle gratuit proposé par Mairie.app, libre de réutilisation et de modification.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Arial" w:hAnsi="Arial" w:eastAsia="Arial"/>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eastAsia="Arial"/>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du site internet de la commune</dc:title>
  <dc:subject>Modèle gratuit de cahier des charges pour le site internet d’une mairie</dc:subject>
  <dc:creator>Mairie.app</dc:creator>
  <cp:keywords>cahier des charges, site internet, mairie, commune, modèle</cp:keywords>
  <dc:description/>
  <cp:lastModifiedBy>Mairie.app</cp:lastModifiedBy>
  <cp:revision>1</cp:revision>
  <dcterms:created xsi:type="dcterms:W3CDTF">2013-12-23T23:15:00Z</dcterms:created>
  <dcterms:modified xsi:type="dcterms:W3CDTF">2013-12-23T23:15:00Z</dcterms:modified>
  <cp:category/>
</cp:coreProperties>
</file>